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D" w:rsidRPr="00394911" w:rsidRDefault="003A463D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</w:t>
      </w:r>
      <w:r w:rsidR="00DD0B2A"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3A463D" w:rsidRPr="00394911" w:rsidRDefault="003A463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A463D" w:rsidRPr="00394911" w:rsidRDefault="003A463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3A463D" w:rsidRPr="00394911" w:rsidRDefault="003A463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A463D" w:rsidRPr="00394911" w:rsidRDefault="003A463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proofErr w:type="spellStart"/>
      <w:proofErr w:type="gramStart"/>
      <w:r w:rsidRPr="00394911">
        <w:rPr>
          <w:rFonts w:ascii="Trebuchet MS" w:hAnsi="Trebuchet MS"/>
          <w:b/>
          <w:sz w:val="28"/>
          <w:szCs w:val="28"/>
          <w:lang w:eastAsia="cs-CZ"/>
        </w:rPr>
        <w:t>reg</w:t>
      </w:r>
      <w:proofErr w:type="gramEnd"/>
      <w:r w:rsidRPr="00394911">
        <w:rPr>
          <w:rFonts w:ascii="Trebuchet MS" w:hAnsi="Trebuchet MS"/>
          <w:b/>
          <w:sz w:val="28"/>
          <w:szCs w:val="28"/>
          <w:lang w:eastAsia="cs-CZ"/>
        </w:rPr>
        <w:t>.</w:t>
      </w:r>
      <w:proofErr w:type="gramStart"/>
      <w:r w:rsidRPr="00394911">
        <w:rPr>
          <w:rFonts w:ascii="Trebuchet MS" w:hAnsi="Trebuchet MS"/>
          <w:b/>
          <w:sz w:val="28"/>
          <w:szCs w:val="28"/>
          <w:lang w:eastAsia="cs-CZ"/>
        </w:rPr>
        <w:t>č</w:t>
      </w:r>
      <w:proofErr w:type="spellEnd"/>
      <w:r w:rsidRPr="00394911">
        <w:rPr>
          <w:rFonts w:ascii="Trebuchet MS" w:hAnsi="Trebuchet MS"/>
          <w:b/>
          <w:sz w:val="28"/>
          <w:szCs w:val="28"/>
          <w:lang w:eastAsia="cs-CZ"/>
        </w:rPr>
        <w:t>.</w:t>
      </w:r>
      <w:proofErr w:type="gramEnd"/>
      <w:r w:rsidRPr="00394911">
        <w:rPr>
          <w:rFonts w:ascii="Trebuchet MS" w:hAnsi="Trebuchet MS"/>
          <w:b/>
          <w:sz w:val="28"/>
          <w:szCs w:val="28"/>
          <w:lang w:eastAsia="cs-CZ"/>
        </w:rPr>
        <w:t xml:space="preserve"> CZ.1.07/1.5.00/34.0496</w:t>
      </w:r>
    </w:p>
    <w:p w:rsidR="003A463D" w:rsidRPr="00394911" w:rsidRDefault="003A463D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A463D" w:rsidRPr="00394911" w:rsidRDefault="003A463D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3A463D" w:rsidRPr="005F5FBA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F5FB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VY_32_INOVACE_10_3_06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155BF6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Technologičnost montáže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Ing. Štěpánka </w:t>
            </w:r>
            <w:proofErr w:type="spellStart"/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Makoňová</w:t>
            </w:r>
            <w:proofErr w:type="spellEnd"/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DD0B2A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="003A463D"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A463D" w:rsidRPr="005F5FBA" w:rsidRDefault="005F5FBA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5F5FBA">
              <w:rPr>
                <w:rFonts w:ascii="Trebuchet MS" w:hAnsi="Trebuchet MS"/>
                <w:sz w:val="24"/>
                <w:szCs w:val="24"/>
                <w:lang w:eastAsia="cs-CZ"/>
              </w:rPr>
              <w:t>1 v</w:t>
            </w:r>
            <w:r w:rsidR="003A463D" w:rsidRPr="005F5FBA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5F5FB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 w:rsidR="005F5FBA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85ED3">
              <w:rPr>
                <w:rFonts w:ascii="Trebuchet MS" w:hAnsi="Trebuchet MS"/>
                <w:sz w:val="24"/>
                <w:szCs w:val="24"/>
                <w:lang w:eastAsia="cs-CZ"/>
              </w:rPr>
              <w:t xml:space="preserve">ŘASA, J. NANĚK,V. KAFKA, J. </w:t>
            </w:r>
            <w:r w:rsidRPr="005F5FB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Strojírenská technologie 4. Návrhy nástrojů, přípravků a měřidel, zásady montáže. </w:t>
            </w:r>
            <w:r w:rsidRPr="00A85ED3">
              <w:rPr>
                <w:rFonts w:ascii="Trebuchet MS" w:hAnsi="Trebuchet MS"/>
                <w:sz w:val="24"/>
                <w:szCs w:val="24"/>
                <w:lang w:eastAsia="cs-CZ"/>
              </w:rPr>
              <w:t>Praha: SCIENTIA, 2003.</w:t>
            </w:r>
            <w:r w:rsidR="005F5FBA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A85ED3">
              <w:rPr>
                <w:rFonts w:ascii="Trebuchet MS" w:hAnsi="Trebuchet MS"/>
                <w:sz w:val="24"/>
                <w:szCs w:val="24"/>
                <w:lang w:eastAsia="cs-CZ"/>
              </w:rPr>
              <w:t>ISBN 80-7183-284-7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proofErr w:type="spellStart"/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</w:t>
            </w:r>
            <w:proofErr w:type="spellEnd"/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vizualizér</w:t>
            </w:r>
            <w:proofErr w:type="spellEnd"/>
          </w:p>
        </w:tc>
      </w:tr>
      <w:tr w:rsidR="003A463D" w:rsidRPr="00A85ED3" w:rsidTr="005F5FBA">
        <w:trPr>
          <w:trHeight w:val="7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Technologičnost montáže, technologičnost konstrukce, rozměrové řetězce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3A463D" w:rsidRPr="00A85ED3" w:rsidTr="005F5FBA">
        <w:trPr>
          <w:trHeight w:val="960"/>
        </w:trPr>
        <w:tc>
          <w:tcPr>
            <w:tcW w:w="4606" w:type="dxa"/>
            <w:vAlign w:val="center"/>
          </w:tcPr>
          <w:p w:rsidR="003A463D" w:rsidRPr="008B1897" w:rsidRDefault="003A463D" w:rsidP="005F5F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A463D" w:rsidRPr="00C4216F" w:rsidRDefault="003A463D" w:rsidP="005F5FB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3A463D" w:rsidRPr="008B1897" w:rsidRDefault="003A463D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3A463D" w:rsidRPr="008B1897" w:rsidRDefault="003A463D" w:rsidP="005F5FBA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3A463D" w:rsidRDefault="003A463D">
      <w:pPr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3A463D" w:rsidRDefault="003A463D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 w:rsidRPr="00952110"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Technologičnost montáže</w:t>
      </w:r>
    </w:p>
    <w:p w:rsidR="003A463D" w:rsidRDefault="003A463D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3A463D" w:rsidRPr="00952110" w:rsidRDefault="003A463D" w:rsidP="00952110">
      <w:p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>
        <w:rPr>
          <w:rFonts w:ascii="Trebuchet MS" w:hAnsi="Trebuchet MS" w:cs="NDOHIG+TimesNewRoman"/>
          <w:color w:val="000000"/>
          <w:sz w:val="24"/>
          <w:szCs w:val="24"/>
        </w:rPr>
        <w:t>T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echnologi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nost konstrukce z hlediska montáže</w:t>
      </w:r>
      <w:r>
        <w:rPr>
          <w:rFonts w:ascii="Trebuchet MS" w:hAnsi="Trebuchet MS" w:cs="NDOHIG+TimesNewRoman"/>
          <w:color w:val="000000"/>
          <w:sz w:val="24"/>
          <w:szCs w:val="24"/>
        </w:rPr>
        <w:t xml:space="preserve"> zahrnuje úpravy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rozm</w:t>
      </w:r>
      <w:r w:rsidRPr="00952110">
        <w:rPr>
          <w:rFonts w:ascii="Trebuchet MS" w:hAnsi="Trebuchet MS"/>
          <w:color w:val="000000"/>
          <w:sz w:val="24"/>
          <w:szCs w:val="24"/>
        </w:rPr>
        <w:t>ě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r</w:t>
      </w:r>
      <w:r w:rsidRPr="00952110">
        <w:rPr>
          <w:rFonts w:ascii="Trebuchet MS" w:hAnsi="Trebuchet MS"/>
          <w:color w:val="000000"/>
          <w:sz w:val="24"/>
          <w:szCs w:val="24"/>
        </w:rPr>
        <w:t>ů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, tvar</w:t>
      </w:r>
      <w:r w:rsidRPr="00952110">
        <w:rPr>
          <w:rFonts w:ascii="Trebuchet MS" w:hAnsi="Trebuchet MS"/>
          <w:color w:val="000000"/>
          <w:sz w:val="24"/>
          <w:szCs w:val="24"/>
        </w:rPr>
        <w:t>ů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, materiál</w:t>
      </w:r>
      <w:r w:rsidRPr="00952110">
        <w:rPr>
          <w:rFonts w:ascii="Trebuchet MS" w:hAnsi="Trebuchet MS"/>
          <w:color w:val="000000"/>
          <w:sz w:val="24"/>
          <w:szCs w:val="24"/>
        </w:rPr>
        <w:t>ů</w:t>
      </w:r>
      <w:r>
        <w:rPr>
          <w:rFonts w:ascii="Trebuchet MS" w:hAnsi="Trebuchet MS"/>
          <w:color w:val="000000"/>
          <w:sz w:val="24"/>
          <w:szCs w:val="24"/>
        </w:rPr>
        <w:t>, polotovarů</w:t>
      </w:r>
      <w:r w:rsidRPr="00952110">
        <w:rPr>
          <w:rFonts w:ascii="Trebuchet MS" w:hAnsi="Trebuchet MS"/>
          <w:color w:val="000000"/>
          <w:sz w:val="24"/>
          <w:szCs w:val="24"/>
        </w:rPr>
        <w:t xml:space="preserve"> 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a dalších parametr</w:t>
      </w:r>
      <w:r w:rsidRPr="00952110">
        <w:rPr>
          <w:rFonts w:ascii="Trebuchet MS" w:hAnsi="Trebuchet MS"/>
          <w:color w:val="000000"/>
          <w:sz w:val="24"/>
          <w:szCs w:val="24"/>
        </w:rPr>
        <w:t>ů</w:t>
      </w:r>
      <w:r>
        <w:rPr>
          <w:rFonts w:ascii="Trebuchet MS" w:hAnsi="Trebuchet MS" w:cs="NDOHIG+TimesNewRoman"/>
          <w:color w:val="000000"/>
          <w:sz w:val="24"/>
          <w:szCs w:val="24"/>
        </w:rPr>
        <w:t>, které vedou k co 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nejnižší</w:t>
      </w:r>
      <w:r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pracnosti</w:t>
      </w:r>
      <w:r w:rsidR="00DD0B2A">
        <w:rPr>
          <w:rFonts w:ascii="Trebuchet MS" w:hAnsi="Trebuchet MS" w:cs="NDOHIG+TimesNewRoman"/>
          <w:color w:val="000000"/>
          <w:sz w:val="24"/>
          <w:szCs w:val="24"/>
        </w:rPr>
        <w:t xml:space="preserve"> montáže a ke </w:t>
      </w:r>
      <w:r>
        <w:rPr>
          <w:rFonts w:ascii="Trebuchet MS" w:hAnsi="Trebuchet MS" w:cs="NDOHIG+TimesNewRoman"/>
          <w:color w:val="000000"/>
          <w:sz w:val="24"/>
          <w:szCs w:val="24"/>
        </w:rPr>
        <w:t xml:space="preserve">zhotovení výrobku tak, aby byla dodržena, 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případně</w:t>
      </w:r>
      <w:r w:rsidRPr="00952110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 w:cs="NDOHIG+TimesNewRoman"/>
          <w:color w:val="000000"/>
          <w:sz w:val="24"/>
          <w:szCs w:val="24"/>
        </w:rPr>
        <w:t>zlepšena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jeho funkce</w:t>
      </w:r>
      <w:r>
        <w:rPr>
          <w:rFonts w:ascii="Trebuchet MS" w:hAnsi="Trebuchet MS" w:cs="NDOHIG+TimesNewRoman"/>
          <w:color w:val="000000"/>
          <w:sz w:val="24"/>
          <w:szCs w:val="24"/>
        </w:rPr>
        <w:t>.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Technologi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nost konstrukce z hlediska montáže je ur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ována: </w:t>
      </w:r>
    </w:p>
    <w:p w:rsidR="003A463D" w:rsidRPr="00952110" w:rsidRDefault="003A463D" w:rsidP="00AE5C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 w:rsidRPr="00952110">
        <w:rPr>
          <w:rFonts w:ascii="Trebuchet MS" w:hAnsi="Trebuchet MS" w:cs="NDOHIG+TimesNewRoman"/>
          <w:color w:val="000000"/>
          <w:sz w:val="24"/>
          <w:szCs w:val="24"/>
        </w:rPr>
        <w:t>tvarem sou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>
        <w:rPr>
          <w:rFonts w:ascii="Trebuchet MS" w:hAnsi="Trebuchet MS" w:cs="NDOHIG+TimesNewRoman"/>
          <w:color w:val="000000"/>
          <w:sz w:val="24"/>
          <w:szCs w:val="24"/>
        </w:rPr>
        <w:t>ásti (výrobku)</w:t>
      </w:r>
    </w:p>
    <w:p w:rsidR="003A463D" w:rsidRPr="00952110" w:rsidRDefault="003A463D" w:rsidP="00AE5C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 w:rsidRPr="00952110">
        <w:rPr>
          <w:rFonts w:ascii="Trebuchet MS" w:hAnsi="Trebuchet MS" w:cs="NDOHIG+TimesNewRoman"/>
          <w:color w:val="000000"/>
          <w:sz w:val="24"/>
          <w:szCs w:val="24"/>
        </w:rPr>
        <w:t>rozm</w:t>
      </w:r>
      <w:r w:rsidRPr="00952110">
        <w:rPr>
          <w:rFonts w:ascii="Trebuchet MS" w:hAnsi="Trebuchet MS"/>
          <w:color w:val="000000"/>
          <w:sz w:val="24"/>
          <w:szCs w:val="24"/>
        </w:rPr>
        <w:t>ě</w:t>
      </w:r>
      <w:r>
        <w:rPr>
          <w:rFonts w:ascii="Trebuchet MS" w:hAnsi="Trebuchet MS" w:cs="NDOHIG+TimesNewRoman"/>
          <w:color w:val="000000"/>
          <w:sz w:val="24"/>
          <w:szCs w:val="24"/>
        </w:rPr>
        <w:t xml:space="preserve">ry, hmotností, tvarovou a geometrickou 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p</w:t>
      </w:r>
      <w:r w:rsidRPr="00952110">
        <w:rPr>
          <w:rFonts w:ascii="Trebuchet MS" w:hAnsi="Trebuchet MS"/>
          <w:color w:val="000000"/>
          <w:sz w:val="24"/>
          <w:szCs w:val="24"/>
        </w:rPr>
        <w:t>ř</w:t>
      </w:r>
      <w:r>
        <w:rPr>
          <w:rFonts w:ascii="Trebuchet MS" w:hAnsi="Trebuchet MS" w:cs="NDOHIG+TimesNewRoman"/>
          <w:color w:val="000000"/>
          <w:sz w:val="24"/>
          <w:szCs w:val="24"/>
        </w:rPr>
        <w:t>esností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</w:p>
    <w:p w:rsidR="003A463D" w:rsidRPr="00952110" w:rsidRDefault="003A463D" w:rsidP="00AE5C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 w:rsidRPr="00952110">
        <w:rPr>
          <w:rFonts w:ascii="Trebuchet MS" w:hAnsi="Trebuchet MS" w:cs="NDOHIG+TimesNewRoman"/>
          <w:color w:val="000000"/>
          <w:sz w:val="24"/>
          <w:szCs w:val="24"/>
        </w:rPr>
        <w:t>po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tem sou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ástí (montážních celk</w:t>
      </w:r>
      <w:r w:rsidRPr="00952110">
        <w:rPr>
          <w:rFonts w:ascii="Trebuchet MS" w:hAnsi="Trebuchet MS"/>
          <w:color w:val="000000"/>
          <w:sz w:val="24"/>
          <w:szCs w:val="24"/>
        </w:rPr>
        <w:t>ů</w:t>
      </w:r>
      <w:r>
        <w:rPr>
          <w:rFonts w:ascii="Trebuchet MS" w:hAnsi="Trebuchet MS" w:cs="NDOHIG+TimesNewRoman"/>
          <w:color w:val="000000"/>
          <w:sz w:val="24"/>
          <w:szCs w:val="24"/>
        </w:rPr>
        <w:t>) v montovaném výrobku</w:t>
      </w:r>
    </w:p>
    <w:p w:rsidR="003A463D" w:rsidRPr="00952110" w:rsidRDefault="003A463D" w:rsidP="00AE5C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 w:rsidRPr="00952110">
        <w:rPr>
          <w:rFonts w:ascii="Trebuchet MS" w:hAnsi="Trebuchet MS" w:cs="NDOHIG+TimesNewRoman"/>
          <w:color w:val="000000"/>
          <w:sz w:val="24"/>
          <w:szCs w:val="24"/>
        </w:rPr>
        <w:t>fixací základních sou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ástí a rozm</w:t>
      </w:r>
      <w:r w:rsidRPr="00952110">
        <w:rPr>
          <w:rFonts w:ascii="Trebuchet MS" w:hAnsi="Trebuchet MS"/>
          <w:color w:val="000000"/>
          <w:sz w:val="24"/>
          <w:szCs w:val="24"/>
        </w:rPr>
        <w:t>ě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rovými </w:t>
      </w:r>
      <w:r w:rsidRPr="00952110">
        <w:rPr>
          <w:rFonts w:ascii="Trebuchet MS" w:hAnsi="Trebuchet MS"/>
          <w:color w:val="000000"/>
          <w:sz w:val="24"/>
          <w:szCs w:val="24"/>
        </w:rPr>
        <w:t>ř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et</w:t>
      </w:r>
      <w:r w:rsidRPr="00952110">
        <w:rPr>
          <w:rFonts w:ascii="Trebuchet MS" w:hAnsi="Trebuchet MS"/>
          <w:color w:val="000000"/>
          <w:sz w:val="24"/>
          <w:szCs w:val="24"/>
        </w:rPr>
        <w:t>ě</w:t>
      </w:r>
      <w:r>
        <w:rPr>
          <w:rFonts w:ascii="Trebuchet MS" w:hAnsi="Trebuchet MS" w:cs="NDOHIG+TimesNewRoman"/>
          <w:color w:val="000000"/>
          <w:sz w:val="24"/>
          <w:szCs w:val="24"/>
        </w:rPr>
        <w:t>zci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</w:p>
    <w:p w:rsidR="003A463D" w:rsidRPr="00952110" w:rsidRDefault="003A463D" w:rsidP="00AE5C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>
        <w:rPr>
          <w:rFonts w:ascii="Trebuchet MS" w:hAnsi="Trebuchet MS" w:cs="NDOHIG+TimesNewRoman"/>
          <w:color w:val="000000"/>
          <w:sz w:val="24"/>
          <w:szCs w:val="24"/>
        </w:rPr>
        <w:t>typem spojení a spojovací technologií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</w:p>
    <w:p w:rsidR="003A463D" w:rsidRPr="00952110" w:rsidRDefault="003A463D" w:rsidP="00952110">
      <w:p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</w:p>
    <w:p w:rsidR="003A463D" w:rsidRDefault="003A463D" w:rsidP="00952110">
      <w:p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>
        <w:rPr>
          <w:rFonts w:ascii="Trebuchet MS" w:hAnsi="Trebuchet MS" w:cs="NDOHIG+TimesNewRoman"/>
          <w:color w:val="000000"/>
          <w:sz w:val="24"/>
          <w:szCs w:val="24"/>
        </w:rPr>
        <w:t>Správnost konstrukce a volba technologického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pr</w:t>
      </w:r>
      <w:r>
        <w:rPr>
          <w:rFonts w:ascii="Trebuchet MS" w:hAnsi="Trebuchet MS" w:cs="NDOHIG+TimesNewRoman"/>
          <w:color w:val="000000"/>
          <w:sz w:val="24"/>
          <w:szCs w:val="24"/>
        </w:rPr>
        <w:t>ocesu ovlivňují především konečnou fázi výrobního procesu – montáž.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  <w:r w:rsidRPr="009C49EC">
        <w:rPr>
          <w:rFonts w:ascii="Trebuchet MS" w:hAnsi="Trebuchet MS" w:cs="NDOHPJ+TimesNewRoman,BoldItalic"/>
          <w:bCs/>
          <w:color w:val="000000"/>
          <w:sz w:val="24"/>
          <w:szCs w:val="24"/>
        </w:rPr>
        <w:t>Montážní náklady mohou v d</w:t>
      </w:r>
      <w:r w:rsidRPr="009C49EC">
        <w:rPr>
          <w:rFonts w:ascii="Trebuchet MS" w:hAnsi="Trebuchet MS"/>
          <w:bCs/>
          <w:color w:val="000000"/>
          <w:sz w:val="24"/>
          <w:szCs w:val="24"/>
        </w:rPr>
        <w:t>ů</w:t>
      </w:r>
      <w:r w:rsidRPr="009C49EC">
        <w:rPr>
          <w:rFonts w:ascii="Trebuchet MS" w:hAnsi="Trebuchet MS" w:cs="NDOHPJ+TimesNewRoman,BoldItalic"/>
          <w:bCs/>
          <w:color w:val="000000"/>
          <w:sz w:val="24"/>
          <w:szCs w:val="24"/>
        </w:rPr>
        <w:t>sl</w:t>
      </w:r>
      <w:r>
        <w:rPr>
          <w:rFonts w:ascii="Trebuchet MS" w:hAnsi="Trebuchet MS" w:cs="NDOHPJ+TimesNewRoman,BoldItalic"/>
          <w:bCs/>
          <w:color w:val="000000"/>
          <w:sz w:val="24"/>
          <w:szCs w:val="24"/>
        </w:rPr>
        <w:t>edku nevhodné konstrukce a nekvalitní</w:t>
      </w:r>
      <w:r w:rsidRPr="009C49EC">
        <w:rPr>
          <w:rFonts w:ascii="Trebuchet MS" w:hAnsi="Trebuchet MS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PJ+TimesNewRoman,BoldItalic"/>
          <w:bCs/>
          <w:color w:val="000000"/>
          <w:sz w:val="24"/>
          <w:szCs w:val="24"/>
        </w:rPr>
        <w:t>výroby</w:t>
      </w:r>
      <w:r w:rsidRPr="009C49EC">
        <w:rPr>
          <w:rFonts w:ascii="Trebuchet MS" w:hAnsi="Trebuchet MS" w:cs="NDOHPJ+TimesNewRoman,BoldItalic"/>
          <w:bCs/>
          <w:color w:val="000000"/>
          <w:sz w:val="24"/>
          <w:szCs w:val="24"/>
        </w:rPr>
        <w:t xml:space="preserve"> sou</w:t>
      </w:r>
      <w:r w:rsidRPr="009C49EC">
        <w:rPr>
          <w:rFonts w:ascii="Trebuchet MS" w:hAnsi="Trebuchet MS"/>
          <w:bCs/>
          <w:color w:val="000000"/>
          <w:sz w:val="24"/>
          <w:szCs w:val="24"/>
        </w:rPr>
        <w:t>č</w:t>
      </w:r>
      <w:r w:rsidRPr="009C49EC">
        <w:rPr>
          <w:rFonts w:ascii="Trebuchet MS" w:hAnsi="Trebuchet MS" w:cs="NDOHPJ+TimesNewRoman,BoldItalic"/>
          <w:bCs/>
          <w:color w:val="000000"/>
          <w:sz w:val="24"/>
          <w:szCs w:val="24"/>
        </w:rPr>
        <w:t>ástí tvo</w:t>
      </w:r>
      <w:r w:rsidRPr="009C49EC">
        <w:rPr>
          <w:rFonts w:ascii="Trebuchet MS" w:hAnsi="Trebuchet MS"/>
          <w:bCs/>
          <w:color w:val="000000"/>
          <w:sz w:val="24"/>
          <w:szCs w:val="24"/>
        </w:rPr>
        <w:t>ř</w:t>
      </w:r>
      <w:r>
        <w:rPr>
          <w:rFonts w:ascii="Trebuchet MS" w:hAnsi="Trebuchet MS" w:cs="NDOHPJ+TimesNewRoman,BoldItalic"/>
          <w:bCs/>
          <w:color w:val="000000"/>
          <w:sz w:val="24"/>
          <w:szCs w:val="24"/>
        </w:rPr>
        <w:t>it podstatnou</w:t>
      </w:r>
      <w:r w:rsidRPr="009C49EC">
        <w:rPr>
          <w:rFonts w:ascii="Trebuchet MS" w:hAnsi="Trebuchet MS" w:cs="NDOHPJ+TimesNewRoman,BoldItalic"/>
          <w:bCs/>
          <w:color w:val="000000"/>
          <w:sz w:val="24"/>
          <w:szCs w:val="24"/>
        </w:rPr>
        <w:t xml:space="preserve"> </w:t>
      </w:r>
      <w:r w:rsidRPr="009C49EC">
        <w:rPr>
          <w:rFonts w:ascii="Trebuchet MS" w:hAnsi="Trebuchet MS"/>
          <w:bCs/>
          <w:color w:val="000000"/>
          <w:sz w:val="24"/>
          <w:szCs w:val="24"/>
        </w:rPr>
        <w:t>č</w:t>
      </w:r>
      <w:r w:rsidRPr="009C49EC">
        <w:rPr>
          <w:rFonts w:ascii="Trebuchet MS" w:hAnsi="Trebuchet MS" w:cs="NDOHPJ+TimesNewRoman,BoldItalic"/>
          <w:bCs/>
          <w:color w:val="000000"/>
          <w:sz w:val="24"/>
          <w:szCs w:val="24"/>
        </w:rPr>
        <w:t>ást výrobních náklad</w:t>
      </w:r>
      <w:r w:rsidRPr="009C49EC">
        <w:rPr>
          <w:rFonts w:ascii="Trebuchet MS" w:hAnsi="Trebuchet MS"/>
          <w:bCs/>
          <w:color w:val="000000"/>
          <w:sz w:val="24"/>
          <w:szCs w:val="24"/>
        </w:rPr>
        <w:t>ů</w:t>
      </w:r>
      <w:r w:rsidRPr="009C49EC">
        <w:rPr>
          <w:rFonts w:ascii="Trebuchet MS" w:hAnsi="Trebuchet MS" w:cs="NDOHPJ+TimesNewRoman,BoldItalic"/>
          <w:bCs/>
          <w:color w:val="000000"/>
          <w:sz w:val="24"/>
          <w:szCs w:val="24"/>
        </w:rPr>
        <w:t xml:space="preserve">. </w:t>
      </w:r>
      <w:r>
        <w:rPr>
          <w:rFonts w:ascii="Trebuchet MS" w:hAnsi="Trebuchet MS" w:cs="NDOHIG+TimesNewRoman"/>
          <w:color w:val="000000"/>
          <w:sz w:val="24"/>
          <w:szCs w:val="24"/>
        </w:rPr>
        <w:t xml:space="preserve">Správná konstrukce výrobku zjednodušuje montážní proces, snižuje podíl 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ru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ní</w:t>
      </w:r>
      <w:r>
        <w:rPr>
          <w:rFonts w:ascii="Trebuchet MS" w:hAnsi="Trebuchet MS" w:cs="NDOHIG+TimesNewRoman"/>
          <w:color w:val="000000"/>
          <w:sz w:val="24"/>
          <w:szCs w:val="24"/>
        </w:rPr>
        <w:t>ch činností a dovoluje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uplatnit mechanizaci a automatizaci pomocí r</w:t>
      </w:r>
      <w:r w:rsidRPr="00952110">
        <w:rPr>
          <w:rFonts w:ascii="Trebuchet MS" w:hAnsi="Trebuchet MS"/>
          <w:color w:val="000000"/>
          <w:sz w:val="24"/>
          <w:szCs w:val="24"/>
        </w:rPr>
        <w:t>ů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zných prost</w:t>
      </w:r>
      <w:r w:rsidRPr="00952110">
        <w:rPr>
          <w:rFonts w:ascii="Trebuchet MS" w:hAnsi="Trebuchet MS"/>
          <w:color w:val="000000"/>
          <w:sz w:val="24"/>
          <w:szCs w:val="24"/>
        </w:rPr>
        <w:t>ř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edk</w:t>
      </w:r>
      <w:r w:rsidRPr="00952110">
        <w:rPr>
          <w:rFonts w:ascii="Trebuchet MS" w:hAnsi="Trebuchet MS"/>
          <w:color w:val="000000"/>
          <w:sz w:val="24"/>
          <w:szCs w:val="24"/>
        </w:rPr>
        <w:t>ů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. Se zvyšujícím se stupn</w:t>
      </w:r>
      <w:r w:rsidRPr="00952110">
        <w:rPr>
          <w:rFonts w:ascii="Trebuchet MS" w:hAnsi="Trebuchet MS"/>
          <w:color w:val="000000"/>
          <w:sz w:val="24"/>
          <w:szCs w:val="24"/>
        </w:rPr>
        <w:t>ě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m automatizace se zvyšují i požadavky na technologi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nost výrobk</w:t>
      </w:r>
      <w:r w:rsidRPr="00952110">
        <w:rPr>
          <w:rFonts w:ascii="Trebuchet MS" w:hAnsi="Trebuchet MS"/>
          <w:color w:val="000000"/>
          <w:sz w:val="24"/>
          <w:szCs w:val="24"/>
        </w:rPr>
        <w:t xml:space="preserve">ů 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a p</w:t>
      </w:r>
      <w:r w:rsidRPr="00952110">
        <w:rPr>
          <w:rFonts w:ascii="Trebuchet MS" w:hAnsi="Trebuchet MS"/>
          <w:color w:val="000000"/>
          <w:sz w:val="24"/>
          <w:szCs w:val="24"/>
        </w:rPr>
        <w:t>ř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esnost jejich provedení.</w:t>
      </w:r>
    </w:p>
    <w:p w:rsidR="003A463D" w:rsidRPr="00952110" w:rsidRDefault="003A463D" w:rsidP="00952110">
      <w:p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</w:p>
    <w:p w:rsidR="003A463D" w:rsidRDefault="003A463D" w:rsidP="000B2400">
      <w:p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>
        <w:rPr>
          <w:rFonts w:ascii="Trebuchet MS" w:hAnsi="Trebuchet MS" w:cs="NDOHIG+TimesNewRoman"/>
          <w:color w:val="000000"/>
          <w:sz w:val="24"/>
          <w:szCs w:val="24"/>
        </w:rPr>
        <w:t>Podmínky vedoucí k z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abezpe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ení technologi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nosti montáže</w:t>
      </w:r>
      <w:r>
        <w:rPr>
          <w:rFonts w:ascii="Trebuchet MS" w:hAnsi="Trebuchet MS" w:cs="NDOHIG+TimesNewRoman"/>
          <w:color w:val="000000"/>
          <w:sz w:val="24"/>
          <w:szCs w:val="24"/>
        </w:rPr>
        <w:t>: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</w:p>
    <w:p w:rsidR="003A463D" w:rsidRPr="000B2400" w:rsidRDefault="003A463D" w:rsidP="00AE5C7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 w:rsidRPr="000B2400">
        <w:rPr>
          <w:rFonts w:ascii="Trebuchet MS" w:hAnsi="Trebuchet MS"/>
          <w:color w:val="000000"/>
          <w:sz w:val="24"/>
          <w:szCs w:val="24"/>
        </w:rPr>
        <w:t>č</w:t>
      </w:r>
      <w:r w:rsidRPr="000B2400">
        <w:rPr>
          <w:rFonts w:ascii="Trebuchet MS" w:hAnsi="Trebuchet MS" w:cs="NDOHIG+TimesNewRoman"/>
          <w:color w:val="000000"/>
          <w:sz w:val="24"/>
          <w:szCs w:val="24"/>
        </w:rPr>
        <w:t>len</w:t>
      </w:r>
      <w:r w:rsidRPr="000B2400">
        <w:rPr>
          <w:rFonts w:ascii="Trebuchet MS" w:hAnsi="Trebuchet MS"/>
          <w:color w:val="000000"/>
          <w:sz w:val="24"/>
          <w:szCs w:val="24"/>
        </w:rPr>
        <w:t>ě</w:t>
      </w:r>
      <w:r>
        <w:rPr>
          <w:rFonts w:ascii="Trebuchet MS" w:hAnsi="Trebuchet MS" w:cs="NDOHIG+TimesNewRoman"/>
          <w:color w:val="000000"/>
          <w:sz w:val="24"/>
          <w:szCs w:val="24"/>
        </w:rPr>
        <w:t>ním montáže na montážní uzly, které dovolují</w:t>
      </w:r>
      <w:r w:rsidRPr="000B2400">
        <w:rPr>
          <w:rFonts w:ascii="Trebuchet MS" w:hAnsi="Trebuchet MS" w:cs="NDOHIG+TimesNewRoman"/>
          <w:color w:val="000000"/>
          <w:sz w:val="24"/>
          <w:szCs w:val="24"/>
        </w:rPr>
        <w:t xml:space="preserve"> nezávislou montáž, kontrolu a zkoušky</w:t>
      </w:r>
    </w:p>
    <w:p w:rsidR="003A463D" w:rsidRPr="00952110" w:rsidRDefault="003A463D" w:rsidP="00AE5C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 w:rsidRPr="00952110">
        <w:rPr>
          <w:rFonts w:ascii="Trebuchet MS" w:hAnsi="Trebuchet MS" w:cs="NDOHIG+TimesNewRoman"/>
          <w:color w:val="000000"/>
          <w:sz w:val="24"/>
          <w:szCs w:val="24"/>
        </w:rPr>
        <w:t>zabezpe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>
        <w:rPr>
          <w:rFonts w:ascii="Trebuchet MS" w:hAnsi="Trebuchet MS" w:cs="NDOHIG+TimesNewRoman"/>
          <w:color w:val="000000"/>
          <w:sz w:val="24"/>
          <w:szCs w:val="24"/>
        </w:rPr>
        <w:t>ením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vzájemné vym</w:t>
      </w:r>
      <w:r w:rsidRPr="00952110">
        <w:rPr>
          <w:rFonts w:ascii="Trebuchet MS" w:hAnsi="Trebuchet MS"/>
          <w:color w:val="000000"/>
          <w:sz w:val="24"/>
          <w:szCs w:val="24"/>
        </w:rPr>
        <w:t>ě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nitelnosti jednotlivých prvk</w:t>
      </w:r>
      <w:r w:rsidRPr="00952110">
        <w:rPr>
          <w:rFonts w:ascii="Trebuchet MS" w:hAnsi="Trebuchet MS"/>
          <w:color w:val="000000"/>
          <w:sz w:val="24"/>
          <w:szCs w:val="24"/>
        </w:rPr>
        <w:t xml:space="preserve">ů </w:t>
      </w:r>
      <w:r>
        <w:rPr>
          <w:rFonts w:ascii="Trebuchet MS" w:hAnsi="Trebuchet MS" w:cs="NDOHIG+TimesNewRoman"/>
          <w:color w:val="000000"/>
          <w:sz w:val="24"/>
          <w:szCs w:val="24"/>
        </w:rPr>
        <w:t>bez lícování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</w:p>
    <w:p w:rsidR="003A463D" w:rsidRPr="00952110" w:rsidRDefault="003A463D" w:rsidP="00AE5C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 w:rsidRPr="00952110">
        <w:rPr>
          <w:rFonts w:ascii="Trebuchet MS" w:hAnsi="Trebuchet MS" w:cs="NDOHIG+TimesNewRoman"/>
          <w:color w:val="000000"/>
          <w:sz w:val="24"/>
          <w:szCs w:val="24"/>
        </w:rPr>
        <w:t>zabezpe</w:t>
      </w:r>
      <w:r w:rsidRPr="00952110">
        <w:rPr>
          <w:rFonts w:ascii="Trebuchet MS" w:hAnsi="Trebuchet MS"/>
          <w:color w:val="000000"/>
          <w:sz w:val="24"/>
          <w:szCs w:val="24"/>
        </w:rPr>
        <w:t>č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>ením jednoduchosti montáže a p</w:t>
      </w:r>
      <w:r w:rsidRPr="00952110">
        <w:rPr>
          <w:rFonts w:ascii="Trebuchet MS" w:hAnsi="Trebuchet MS"/>
          <w:color w:val="000000"/>
          <w:sz w:val="24"/>
          <w:szCs w:val="24"/>
        </w:rPr>
        <w:t>ř</w:t>
      </w:r>
      <w:r>
        <w:rPr>
          <w:rFonts w:ascii="Trebuchet MS" w:hAnsi="Trebuchet MS" w:cs="NDOHIG+TimesNewRoman"/>
          <w:color w:val="000000"/>
          <w:sz w:val="24"/>
          <w:szCs w:val="24"/>
        </w:rPr>
        <w:t>ístupnosti montážních míst</w:t>
      </w:r>
      <w:r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</w:p>
    <w:p w:rsidR="003A463D" w:rsidRPr="00952110" w:rsidRDefault="003A463D" w:rsidP="00952110">
      <w:p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</w:p>
    <w:p w:rsidR="003A463D" w:rsidRDefault="00DD0B2A" w:rsidP="00C2699B">
      <w:pPr>
        <w:autoSpaceDE w:val="0"/>
        <w:autoSpaceDN w:val="0"/>
        <w:adjustRightInd w:val="0"/>
        <w:spacing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>
        <w:rPr>
          <w:rFonts w:ascii="Trebuchet MS" w:hAnsi="Trebuchet MS" w:cs="NDOHIG+TimesNewRoman"/>
          <w:color w:val="000000"/>
          <w:sz w:val="24"/>
          <w:szCs w:val="24"/>
        </w:rPr>
        <w:t>Hlavní ukazatelé</w:t>
      </w:r>
      <w:r w:rsidR="003A463D"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technologi</w:t>
      </w:r>
      <w:r w:rsidR="003A463D" w:rsidRPr="00952110">
        <w:rPr>
          <w:rFonts w:ascii="Trebuchet MS" w:hAnsi="Trebuchet MS"/>
          <w:color w:val="000000"/>
          <w:sz w:val="24"/>
          <w:szCs w:val="24"/>
        </w:rPr>
        <w:t>č</w:t>
      </w:r>
      <w:r w:rsidR="003A463D" w:rsidRPr="00952110">
        <w:rPr>
          <w:rFonts w:ascii="Trebuchet MS" w:hAnsi="Trebuchet MS" w:cs="NDOHIG+TimesNewRoman"/>
          <w:color w:val="000000"/>
          <w:sz w:val="24"/>
          <w:szCs w:val="24"/>
        </w:rPr>
        <w:t>nosti</w:t>
      </w:r>
      <w:r w:rsidR="003A463D">
        <w:rPr>
          <w:rFonts w:ascii="Trebuchet MS" w:hAnsi="Trebuchet MS" w:cs="NDOHIG+TimesNewRoman"/>
          <w:color w:val="000000"/>
          <w:sz w:val="24"/>
          <w:szCs w:val="24"/>
        </w:rPr>
        <w:t xml:space="preserve"> montáže</w:t>
      </w:r>
      <w:r w:rsidR="003A463D"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jsou pracnost a náklady </w:t>
      </w:r>
      <w:r w:rsidR="003A463D">
        <w:rPr>
          <w:rFonts w:ascii="Trebuchet MS" w:hAnsi="Trebuchet MS" w:cs="NDOHIG+TimesNewRoman"/>
          <w:color w:val="000000"/>
          <w:sz w:val="24"/>
          <w:szCs w:val="24"/>
        </w:rPr>
        <w:t xml:space="preserve">na </w:t>
      </w:r>
      <w:r w:rsidR="003A463D" w:rsidRPr="00952110">
        <w:rPr>
          <w:rFonts w:ascii="Trebuchet MS" w:hAnsi="Trebuchet MS" w:cs="NDOHIG+TimesNewRoman"/>
          <w:color w:val="000000"/>
          <w:sz w:val="24"/>
          <w:szCs w:val="24"/>
        </w:rPr>
        <w:t>zhotovení výrobku</w:t>
      </w:r>
      <w:r w:rsidR="003A463D">
        <w:rPr>
          <w:rFonts w:ascii="Trebuchet MS" w:hAnsi="Trebuchet MS" w:cs="NDOHIG+TimesNewRoman"/>
          <w:color w:val="000000"/>
          <w:sz w:val="24"/>
          <w:szCs w:val="24"/>
        </w:rPr>
        <w:t>.</w:t>
      </w:r>
      <w:r w:rsidR="003A463D" w:rsidRPr="00952110">
        <w:rPr>
          <w:rFonts w:ascii="Trebuchet MS" w:hAnsi="Trebuchet MS" w:cs="NDOHIG+TimesNewRoman"/>
          <w:color w:val="000000"/>
          <w:sz w:val="24"/>
          <w:szCs w:val="24"/>
        </w:rPr>
        <w:t xml:space="preserve"> </w:t>
      </w:r>
    </w:p>
    <w:p w:rsidR="003A463D" w:rsidRPr="00D37F3E" w:rsidRDefault="003A463D" w:rsidP="00D37F3E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DOHIG+TimesNewRoman"/>
          <w:color w:val="000000"/>
          <w:sz w:val="24"/>
          <w:szCs w:val="24"/>
        </w:rPr>
      </w:pPr>
      <w:r w:rsidRPr="00D37F3E">
        <w:rPr>
          <w:rFonts w:ascii="Trebuchet MS" w:hAnsi="Trebuchet MS" w:cs="NDOHIG+TimesNewRoman"/>
          <w:b/>
          <w:color w:val="000000"/>
          <w:sz w:val="24"/>
          <w:szCs w:val="24"/>
        </w:rPr>
        <w:t>Rozm</w:t>
      </w:r>
      <w:r w:rsidRPr="00D37F3E">
        <w:rPr>
          <w:rFonts w:ascii="Trebuchet MS" w:hAnsi="Trebuchet MS"/>
          <w:b/>
          <w:color w:val="000000"/>
          <w:sz w:val="24"/>
          <w:szCs w:val="24"/>
        </w:rPr>
        <w:t>ě</w:t>
      </w:r>
      <w:r w:rsidRPr="00D37F3E">
        <w:rPr>
          <w:rFonts w:ascii="Trebuchet MS" w:hAnsi="Trebuchet MS" w:cs="NDOHIG+TimesNewRoman"/>
          <w:b/>
          <w:color w:val="000000"/>
          <w:sz w:val="24"/>
          <w:szCs w:val="24"/>
        </w:rPr>
        <w:t xml:space="preserve">rový </w:t>
      </w:r>
      <w:r w:rsidRPr="00D37F3E">
        <w:rPr>
          <w:rFonts w:ascii="Trebuchet MS" w:hAnsi="Trebuchet MS"/>
          <w:b/>
          <w:color w:val="000000"/>
          <w:sz w:val="24"/>
          <w:szCs w:val="24"/>
        </w:rPr>
        <w:t>ř</w:t>
      </w:r>
      <w:r w:rsidRPr="00D37F3E">
        <w:rPr>
          <w:rFonts w:ascii="Trebuchet MS" w:hAnsi="Trebuchet MS" w:cs="NDOHIG+TimesNewRoman"/>
          <w:b/>
          <w:color w:val="000000"/>
          <w:sz w:val="24"/>
          <w:szCs w:val="24"/>
        </w:rPr>
        <w:t>et</w:t>
      </w:r>
      <w:r w:rsidRPr="00D37F3E">
        <w:rPr>
          <w:rFonts w:ascii="Trebuchet MS" w:hAnsi="Trebuchet MS"/>
          <w:b/>
          <w:color w:val="000000"/>
          <w:sz w:val="24"/>
          <w:szCs w:val="24"/>
        </w:rPr>
        <w:t>ě</w:t>
      </w:r>
      <w:r w:rsidRPr="00D37F3E">
        <w:rPr>
          <w:rFonts w:ascii="Trebuchet MS" w:hAnsi="Trebuchet MS" w:cs="NDOHIG+TimesNewRoman"/>
          <w:b/>
          <w:color w:val="000000"/>
          <w:sz w:val="24"/>
          <w:szCs w:val="24"/>
        </w:rPr>
        <w:t>zec</w:t>
      </w:r>
      <w:r>
        <w:rPr>
          <w:rFonts w:ascii="Trebuchet MS" w:hAnsi="Trebuchet MS" w:cs="NDOHIG+TimesNewRoman"/>
          <w:b/>
          <w:color w:val="000000"/>
          <w:sz w:val="24"/>
          <w:szCs w:val="24"/>
        </w:rPr>
        <w:t xml:space="preserve"> </w:t>
      </w:r>
      <w:r w:rsidRPr="00103730">
        <w:rPr>
          <w:rFonts w:ascii="Trebuchet MS" w:hAnsi="Trebuchet MS" w:cs="NDOHIG+TimesNewRoman"/>
          <w:color w:val="000000"/>
          <w:sz w:val="24"/>
          <w:szCs w:val="24"/>
        </w:rPr>
        <w:t>je</w:t>
      </w:r>
      <w:r>
        <w:rPr>
          <w:rFonts w:ascii="Trebuchet MS" w:hAnsi="Trebuchet MS" w:cs="NDOHIG+TimesNewRoman"/>
          <w:b/>
          <w:color w:val="000000"/>
          <w:sz w:val="24"/>
          <w:szCs w:val="24"/>
        </w:rPr>
        <w:t xml:space="preserve"> </w:t>
      </w:r>
      <w:r w:rsidRPr="00103730">
        <w:rPr>
          <w:rFonts w:ascii="Trebuchet MS" w:hAnsi="Trebuchet MS" w:cs="NDOHIG+TimesNewRoman"/>
          <w:color w:val="000000"/>
          <w:sz w:val="24"/>
          <w:szCs w:val="24"/>
        </w:rPr>
        <w:t>při montáži</w:t>
      </w:r>
      <w:r w:rsidRPr="00D37F3E">
        <w:rPr>
          <w:rFonts w:ascii="Trebuchet MS" w:hAnsi="Trebuchet MS" w:cs="NDOHIG+TimesNewRoman"/>
          <w:color w:val="000000"/>
          <w:sz w:val="24"/>
          <w:szCs w:val="24"/>
        </w:rPr>
        <w:t xml:space="preserve"> tvo</w:t>
      </w:r>
      <w:r w:rsidRPr="00D37F3E">
        <w:rPr>
          <w:rFonts w:ascii="Trebuchet MS" w:hAnsi="Trebuchet MS"/>
          <w:color w:val="000000"/>
          <w:sz w:val="24"/>
          <w:szCs w:val="24"/>
        </w:rPr>
        <w:t>ř</w:t>
      </w:r>
      <w:r>
        <w:rPr>
          <w:rFonts w:ascii="Trebuchet MS" w:hAnsi="Trebuchet MS" w:cs="NDOHIG+TimesNewRoman"/>
          <w:color w:val="000000"/>
          <w:sz w:val="24"/>
          <w:szCs w:val="24"/>
        </w:rPr>
        <w:t xml:space="preserve">en většinou rozměrů spojovaných součástí. Výsledná vůle nebo přesah představují součet výrobních odchylek od jmenovitých rozměrů všech spojovaných součástí. Vzájemným spojováním součástí s určitými tolerancemi vznikají rozměrové řady s určitou výslednou vůlí nebo přesahem. Způsob řešení rozměrového řetězce (určení jednotlivých tolerancí všech spojovaných členů) ovlivňuje způsob montáže. </w:t>
      </w:r>
    </w:p>
    <w:p w:rsidR="003A463D" w:rsidRPr="009D3C26" w:rsidRDefault="003A463D" w:rsidP="009D3C26">
      <w:pPr>
        <w:pageBreakBefore/>
        <w:autoSpaceDE w:val="0"/>
        <w:autoSpaceDN w:val="0"/>
        <w:adjustRightInd w:val="0"/>
        <w:spacing w:before="120" w:after="0" w:line="240" w:lineRule="auto"/>
        <w:rPr>
          <w:rFonts w:ascii="Trebuchet MS" w:hAnsi="Trebuchet MS" w:cs="NFCCHI+TimesNewRoman,Bold"/>
          <w:b/>
          <w:sz w:val="28"/>
          <w:szCs w:val="28"/>
        </w:rPr>
      </w:pPr>
      <w:r w:rsidRPr="009D3C26">
        <w:rPr>
          <w:rFonts w:ascii="Trebuchet MS" w:hAnsi="Trebuchet MS" w:cs="NFCCHI+TimesNewRoman,Bold"/>
          <w:b/>
          <w:bCs/>
          <w:sz w:val="28"/>
          <w:szCs w:val="28"/>
        </w:rPr>
        <w:lastRenderedPageBreak/>
        <w:t xml:space="preserve">Metody </w:t>
      </w:r>
      <w:r>
        <w:rPr>
          <w:rFonts w:ascii="Trebuchet MS" w:hAnsi="Trebuchet MS" w:cs="NFCCHI+TimesNewRoman,Bold"/>
          <w:b/>
          <w:bCs/>
          <w:sz w:val="28"/>
          <w:szCs w:val="28"/>
        </w:rPr>
        <w:t>řešení rozměrového řetězce</w:t>
      </w:r>
      <w:r w:rsidRPr="009D3C26">
        <w:rPr>
          <w:rFonts w:ascii="Trebuchet MS" w:hAnsi="Trebuchet MS" w:cs="NFCCHI+TimesNewRoman,Bold"/>
          <w:b/>
          <w:bCs/>
          <w:sz w:val="28"/>
          <w:szCs w:val="28"/>
        </w:rPr>
        <w:t xml:space="preserve"> </w:t>
      </w:r>
    </w:p>
    <w:p w:rsidR="003A463D" w:rsidRPr="00D37F3E" w:rsidRDefault="003A463D" w:rsidP="00D37F3E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DOHLL+TimesNewRoman,Bold"/>
          <w:sz w:val="24"/>
          <w:szCs w:val="24"/>
        </w:rPr>
      </w:pPr>
      <w:r w:rsidRPr="00D37F3E">
        <w:rPr>
          <w:rFonts w:ascii="Trebuchet MS" w:hAnsi="Trebuchet MS" w:cs="NFCCHI+TimesNewRoman,Bold"/>
          <w:b/>
          <w:bCs/>
          <w:sz w:val="24"/>
          <w:szCs w:val="24"/>
        </w:rPr>
        <w:t>Metoda absolutní vym</w:t>
      </w:r>
      <w:r w:rsidRPr="00D37F3E">
        <w:rPr>
          <w:rFonts w:ascii="Trebuchet MS" w:hAnsi="Trebuchet MS"/>
          <w:b/>
          <w:bCs/>
          <w:sz w:val="24"/>
          <w:szCs w:val="24"/>
        </w:rPr>
        <w:t>ě</w:t>
      </w:r>
      <w:r w:rsidRPr="00D37F3E">
        <w:rPr>
          <w:rFonts w:ascii="Trebuchet MS" w:hAnsi="Trebuchet MS" w:cs="NFCCHI+TimesNewRoman,Bold"/>
          <w:b/>
          <w:bCs/>
          <w:sz w:val="24"/>
          <w:szCs w:val="24"/>
        </w:rPr>
        <w:t xml:space="preserve">nitelnosti </w:t>
      </w:r>
    </w:p>
    <w:p w:rsidR="003A463D" w:rsidRDefault="003A463D" w:rsidP="00F7129B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sz w:val="24"/>
          <w:szCs w:val="24"/>
        </w:rPr>
      </w:pPr>
      <w:r>
        <w:rPr>
          <w:rFonts w:ascii="Trebuchet MS" w:hAnsi="Trebuchet MS" w:cs="NFCCEO+TimesNewRoman"/>
          <w:sz w:val="24"/>
          <w:szCs w:val="24"/>
        </w:rPr>
        <w:t>Montáž lze provést bez přizpůsobení s použitím libovolných prvků, a to bez jejich výběru nebo jejich přizpůsobení pomocí dokončovacích operací. Součásti se vyrábějí ve velmi úzkých tolerancí</w:t>
      </w:r>
      <w:r w:rsidR="00DD0B2A">
        <w:rPr>
          <w:rFonts w:ascii="Trebuchet MS" w:hAnsi="Trebuchet MS" w:cs="NFCCEO+TimesNewRoman"/>
          <w:sz w:val="24"/>
          <w:szCs w:val="24"/>
        </w:rPr>
        <w:t>ch</w:t>
      </w:r>
      <w:r>
        <w:rPr>
          <w:rFonts w:ascii="Trebuchet MS" w:hAnsi="Trebuchet MS" w:cs="NFCCEO+TimesNewRoman"/>
          <w:sz w:val="24"/>
          <w:szCs w:val="24"/>
        </w:rPr>
        <w:t>, takže se mohou při montáži libovolně zaměňovat. Výroba takových součástí je velmi drahá, neboť vyžaduje přesné stroje, speciální nástroje a měřidla, jednoúčelové přípravky.  Tento způsob montáže je typický pro velkosériovou a hromadnou výrobu.</w:t>
      </w:r>
    </w:p>
    <w:p w:rsidR="003A463D" w:rsidRDefault="003A463D" w:rsidP="00F7129B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b/>
          <w:sz w:val="24"/>
          <w:szCs w:val="24"/>
        </w:rPr>
      </w:pPr>
      <w:r w:rsidRPr="00E95C67">
        <w:rPr>
          <w:rFonts w:ascii="Trebuchet MS" w:hAnsi="Trebuchet MS" w:cs="NFCCEO+TimesNewRoman"/>
          <w:b/>
          <w:sz w:val="24"/>
          <w:szCs w:val="24"/>
        </w:rPr>
        <w:t>Metoda částečné vyměnitelnosti</w:t>
      </w:r>
    </w:p>
    <w:p w:rsidR="003A463D" w:rsidRDefault="003A463D" w:rsidP="002A33AF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sz w:val="24"/>
          <w:szCs w:val="24"/>
        </w:rPr>
      </w:pPr>
      <w:r>
        <w:rPr>
          <w:rFonts w:ascii="Trebuchet MS" w:hAnsi="Trebuchet MS" w:cs="NFCCEO+TimesNewRoman"/>
          <w:sz w:val="24"/>
          <w:szCs w:val="24"/>
        </w:rPr>
        <w:t>Součásti se vyrábějí ve větších tolerancích, vymezení vůle do přípustných hodnot se řeší výpočtem. Pravděpodobnost setkání extrémních rozměrů klesá s počtem montovaných členů, pokud vznikne nevyhovující spojení, napravuje se jednou z níže uvedených metod.</w:t>
      </w:r>
      <w:r>
        <w:rPr>
          <w:rFonts w:ascii="NFCCEO+TimesNewRoman" w:hAnsi="NFCCEO+TimesNewRoman" w:cs="NFCCEO+TimesNewRoman"/>
          <w:sz w:val="20"/>
          <w:szCs w:val="20"/>
        </w:rPr>
        <w:t xml:space="preserve"> </w:t>
      </w:r>
    </w:p>
    <w:p w:rsidR="003A463D" w:rsidRDefault="003A463D" w:rsidP="002A33AF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b/>
          <w:sz w:val="24"/>
          <w:szCs w:val="24"/>
        </w:rPr>
      </w:pPr>
      <w:r>
        <w:rPr>
          <w:rFonts w:ascii="Trebuchet MS" w:hAnsi="Trebuchet MS" w:cs="NFCCEO+TimesNewRoman"/>
          <w:b/>
          <w:sz w:val="24"/>
          <w:szCs w:val="24"/>
        </w:rPr>
        <w:t>Metoda výběrová</w:t>
      </w:r>
    </w:p>
    <w:p w:rsidR="003A463D" w:rsidRDefault="003A463D" w:rsidP="00325EA0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sz w:val="24"/>
          <w:szCs w:val="24"/>
        </w:rPr>
      </w:pPr>
      <w:r>
        <w:rPr>
          <w:rFonts w:ascii="Trebuchet MS" w:hAnsi="Trebuchet MS" w:cs="NFCCEO+TimesNewRoman"/>
          <w:sz w:val="24"/>
          <w:szCs w:val="24"/>
        </w:rPr>
        <w:t>Součásti se vyrábějí hospodárně ve velkých tolerancích, poté se pomocí odstupňovaných měřidel (kalibrů) nebo měřících automatů tříd</w:t>
      </w:r>
      <w:r w:rsidR="00DD0B2A">
        <w:rPr>
          <w:rFonts w:ascii="Trebuchet MS" w:hAnsi="Trebuchet MS" w:cs="NFCCEO+TimesNewRoman"/>
          <w:sz w:val="24"/>
          <w:szCs w:val="24"/>
        </w:rPr>
        <w:t xml:space="preserve">í podle skupinových tolerancí. </w:t>
      </w:r>
      <w:r>
        <w:rPr>
          <w:rFonts w:ascii="Trebuchet MS" w:hAnsi="Trebuchet MS" w:cs="NFCCEO+TimesNewRoman"/>
          <w:sz w:val="24"/>
          <w:szCs w:val="24"/>
        </w:rPr>
        <w:t>Vhodně vytříděné součásti lze smontovat bez dalších úprav. Tato metoda se používá převážně v sériové a hromadné výrobě</w:t>
      </w:r>
      <w:r w:rsidR="00DD0B2A">
        <w:rPr>
          <w:rFonts w:ascii="Trebuchet MS" w:hAnsi="Trebuchet MS" w:cs="NFCCEO+TimesNewRoman"/>
          <w:sz w:val="24"/>
          <w:szCs w:val="24"/>
        </w:rPr>
        <w:t>,</w:t>
      </w:r>
      <w:r>
        <w:rPr>
          <w:rFonts w:ascii="Trebuchet MS" w:hAnsi="Trebuchet MS" w:cs="NFCCEO+TimesNewRoman"/>
          <w:sz w:val="24"/>
          <w:szCs w:val="24"/>
        </w:rPr>
        <w:t xml:space="preserve"> například při výrobě ložisek. </w:t>
      </w:r>
    </w:p>
    <w:p w:rsidR="003A463D" w:rsidRDefault="003A463D" w:rsidP="00325EA0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b/>
          <w:sz w:val="24"/>
          <w:szCs w:val="24"/>
        </w:rPr>
      </w:pPr>
      <w:r w:rsidRPr="00325EA0">
        <w:rPr>
          <w:rFonts w:ascii="Trebuchet MS" w:hAnsi="Trebuchet MS" w:cs="NFCCEO+TimesNewRoman"/>
          <w:b/>
          <w:sz w:val="24"/>
          <w:szCs w:val="24"/>
        </w:rPr>
        <w:t xml:space="preserve">Metoda </w:t>
      </w:r>
      <w:r>
        <w:rPr>
          <w:rFonts w:ascii="Trebuchet MS" w:hAnsi="Trebuchet MS" w:cs="NFCCEO+TimesNewRoman"/>
          <w:b/>
          <w:sz w:val="24"/>
          <w:szCs w:val="24"/>
        </w:rPr>
        <w:t>kompenzátorů</w:t>
      </w:r>
    </w:p>
    <w:p w:rsidR="003A463D" w:rsidRDefault="003A463D" w:rsidP="00325EA0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sz w:val="24"/>
          <w:szCs w:val="24"/>
        </w:rPr>
      </w:pPr>
      <w:r>
        <w:rPr>
          <w:rFonts w:ascii="Trebuchet MS" w:hAnsi="Trebuchet MS" w:cs="NFCCEO+TimesNewRoman"/>
          <w:sz w:val="24"/>
          <w:szCs w:val="24"/>
        </w:rPr>
        <w:t>Aby se dodržela předepsaná výsledná tolerance, vkládá se do řetězce článek umožňující kompenzaci.</w:t>
      </w:r>
    </w:p>
    <w:p w:rsidR="003A463D" w:rsidRDefault="003A463D" w:rsidP="00897408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sz w:val="24"/>
          <w:szCs w:val="24"/>
        </w:rPr>
      </w:pPr>
      <w:r>
        <w:rPr>
          <w:rFonts w:ascii="Trebuchet MS" w:hAnsi="Trebuchet MS" w:cs="NFCCEO+TimesNewRoman"/>
          <w:sz w:val="24"/>
          <w:szCs w:val="24"/>
        </w:rPr>
        <w:t>Kompenzátory nepohyblivé umožňují stupňovitou regulaci rozměrů (mezikroužky, podložky), patří mezi nejjednodušší a nejrozšířenější způsob řešení. Tolerance montovaných členů musí být vždy záporné, po smontování musí vzniknout vůle, která se kompenzátorem vykompenzuje.</w:t>
      </w:r>
    </w:p>
    <w:p w:rsidR="003A463D" w:rsidRDefault="003A463D" w:rsidP="00897408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b/>
          <w:sz w:val="24"/>
          <w:szCs w:val="24"/>
        </w:rPr>
      </w:pPr>
      <w:r>
        <w:rPr>
          <w:rFonts w:ascii="Trebuchet MS" w:hAnsi="Trebuchet MS" w:cs="NFCCEO+TimesNewRoman"/>
          <w:b/>
          <w:sz w:val="24"/>
          <w:szCs w:val="24"/>
        </w:rPr>
        <w:t>Metoda regulační (seřizovací)</w:t>
      </w:r>
    </w:p>
    <w:p w:rsidR="003A463D" w:rsidRDefault="003A463D" w:rsidP="006758C5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sz w:val="24"/>
          <w:szCs w:val="24"/>
        </w:rPr>
      </w:pPr>
      <w:r>
        <w:rPr>
          <w:rFonts w:ascii="Trebuchet MS" w:hAnsi="Trebuchet MS" w:cs="NFCCEO+TimesNewRoman"/>
          <w:sz w:val="24"/>
          <w:szCs w:val="24"/>
        </w:rPr>
        <w:t>Potřebná vůle se vymezuje pomocí pohyblivých kompenzátorů (stavěcí lišta</w:t>
      </w:r>
      <w:bookmarkStart w:id="0" w:name="_GoBack"/>
      <w:bookmarkEnd w:id="0"/>
      <w:r>
        <w:rPr>
          <w:rFonts w:ascii="Trebuchet MS" w:hAnsi="Trebuchet MS" w:cs="NFCCEO+TimesNewRoman"/>
          <w:sz w:val="24"/>
          <w:szCs w:val="24"/>
        </w:rPr>
        <w:t>, stavěcí šroub, přestavitelný klín). Součásti je možno vyrábět s velkými zápornými tolerancemi, zcela odpadají lícovací práce a montáž je rychlá při zachování dobré přesnosti.</w:t>
      </w:r>
    </w:p>
    <w:p w:rsidR="003A463D" w:rsidRDefault="003A463D" w:rsidP="006758C5">
      <w:pPr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b/>
          <w:sz w:val="24"/>
          <w:szCs w:val="24"/>
        </w:rPr>
      </w:pPr>
      <w:r w:rsidRPr="00871DE6">
        <w:rPr>
          <w:rFonts w:ascii="Trebuchet MS" w:hAnsi="Trebuchet MS" w:cs="NFCCEO+TimesNewRoman"/>
          <w:b/>
          <w:sz w:val="24"/>
          <w:szCs w:val="24"/>
        </w:rPr>
        <w:t>Metoda úpravy prvků</w:t>
      </w:r>
      <w:r>
        <w:rPr>
          <w:rFonts w:ascii="Trebuchet MS" w:hAnsi="Trebuchet MS" w:cs="NFCCEO+TimesNewRoman"/>
          <w:b/>
          <w:sz w:val="24"/>
          <w:szCs w:val="24"/>
        </w:rPr>
        <w:tab/>
      </w:r>
    </w:p>
    <w:p w:rsidR="003A463D" w:rsidRDefault="003A463D" w:rsidP="00871DE6">
      <w:pPr>
        <w:tabs>
          <w:tab w:val="left" w:pos="2925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NFCCEO+TimesNewRoman"/>
          <w:sz w:val="24"/>
          <w:szCs w:val="24"/>
        </w:rPr>
      </w:pPr>
      <w:r>
        <w:rPr>
          <w:rFonts w:ascii="Trebuchet MS" w:hAnsi="Trebuchet MS" w:cs="NFCCEO+TimesNewRoman"/>
          <w:sz w:val="24"/>
          <w:szCs w:val="24"/>
        </w:rPr>
        <w:t xml:space="preserve">Tento způsob spočívá v dodatečném obrobení jedné součásti pro dosažení přesnosti kontrolovaného parametru. S touto metodou se setkáváme pouze v kusové </w:t>
      </w:r>
      <w:r w:rsidR="00DF6D28">
        <w:rPr>
          <w:rFonts w:ascii="Trebuchet MS" w:hAnsi="Trebuchet MS" w:cs="NFCCEO+TimesNewRoman"/>
          <w:sz w:val="24"/>
          <w:szCs w:val="24"/>
        </w:rPr>
        <w:br/>
      </w:r>
      <w:r>
        <w:rPr>
          <w:rFonts w:ascii="Trebuchet MS" w:hAnsi="Trebuchet MS" w:cs="NFCCEO+TimesNewRoman"/>
          <w:sz w:val="24"/>
          <w:szCs w:val="24"/>
        </w:rPr>
        <w:t>a malosériové výrobě.</w:t>
      </w:r>
    </w:p>
    <w:p w:rsidR="003A463D" w:rsidRDefault="003A463D">
      <w:pPr>
        <w:rPr>
          <w:rFonts w:ascii="Trebuchet MS" w:hAnsi="Trebuchet MS" w:cs="NFCCEO+TimesNewRoman"/>
          <w:sz w:val="24"/>
          <w:szCs w:val="24"/>
        </w:rPr>
      </w:pPr>
      <w:r>
        <w:rPr>
          <w:rFonts w:ascii="Trebuchet MS" w:hAnsi="Trebuchet MS" w:cs="NFCCEO+TimesNewRoman"/>
          <w:sz w:val="24"/>
          <w:szCs w:val="24"/>
        </w:rPr>
        <w:br w:type="page"/>
      </w:r>
    </w:p>
    <w:p w:rsidR="003A463D" w:rsidRDefault="003A463D" w:rsidP="005F5FBA">
      <w:pPr>
        <w:jc w:val="center"/>
        <w:rPr>
          <w:rFonts w:ascii="Trebuchet MS" w:hAnsi="Trebuchet MS"/>
          <w:b/>
          <w:sz w:val="24"/>
          <w:szCs w:val="24"/>
          <w:lang w:eastAsia="cs-CZ"/>
        </w:rPr>
      </w:pPr>
      <w:r>
        <w:rPr>
          <w:rFonts w:ascii="Trebuchet MS" w:hAnsi="Trebuchet MS"/>
          <w:b/>
          <w:sz w:val="28"/>
          <w:szCs w:val="28"/>
        </w:rPr>
        <w:lastRenderedPageBreak/>
        <w:t>T</w:t>
      </w:r>
      <w:r w:rsidR="005F5FBA">
        <w:rPr>
          <w:rFonts w:ascii="Trebuchet MS" w:hAnsi="Trebuchet MS"/>
          <w:b/>
          <w:sz w:val="28"/>
          <w:szCs w:val="28"/>
        </w:rPr>
        <w:t>est</w:t>
      </w:r>
    </w:p>
    <w:p w:rsidR="003A463D" w:rsidRDefault="003A463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Vymezení vůle pomocí stavěcích šroubů je metoda řešení rozměrového řetězce:</w:t>
      </w:r>
    </w:p>
    <w:p w:rsidR="003A463D" w:rsidRDefault="00923081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</w:t>
      </w:r>
      <w:r w:rsidR="003A463D">
        <w:rPr>
          <w:rFonts w:ascii="Trebuchet MS" w:hAnsi="Trebuchet MS"/>
          <w:sz w:val="24"/>
          <w:szCs w:val="24"/>
          <w:lang w:eastAsia="cs-CZ"/>
        </w:rPr>
        <w:t>ýběrem</w:t>
      </w:r>
    </w:p>
    <w:p w:rsidR="003A463D" w:rsidRDefault="00923081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</w:t>
      </w:r>
      <w:r w:rsidR="003A463D">
        <w:rPr>
          <w:rFonts w:ascii="Trebuchet MS" w:hAnsi="Trebuchet MS"/>
          <w:sz w:val="24"/>
          <w:szCs w:val="24"/>
          <w:lang w:eastAsia="cs-CZ"/>
        </w:rPr>
        <w:t xml:space="preserve">ompenzační </w:t>
      </w:r>
    </w:p>
    <w:p w:rsidR="003A463D" w:rsidRDefault="00923081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r</w:t>
      </w:r>
      <w:r w:rsidR="003A463D">
        <w:rPr>
          <w:rFonts w:ascii="Trebuchet MS" w:hAnsi="Trebuchet MS"/>
          <w:sz w:val="24"/>
          <w:szCs w:val="24"/>
          <w:lang w:eastAsia="cs-CZ"/>
        </w:rPr>
        <w:t>egulační</w:t>
      </w:r>
    </w:p>
    <w:p w:rsidR="003A463D" w:rsidRDefault="003A463D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A463D" w:rsidRDefault="003A463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Mezi podmínky zabezpečení technologičnost montáže nepatří:</w:t>
      </w:r>
    </w:p>
    <w:p w:rsidR="003A463D" w:rsidRDefault="00923081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</w:t>
      </w:r>
      <w:r w:rsidR="003A463D">
        <w:rPr>
          <w:rFonts w:ascii="Trebuchet MS" w:hAnsi="Trebuchet MS"/>
          <w:sz w:val="24"/>
          <w:szCs w:val="24"/>
          <w:lang w:eastAsia="cs-CZ"/>
        </w:rPr>
        <w:t>abezpečení vyměnitelnosti jednotlivých součástí</w:t>
      </w:r>
    </w:p>
    <w:p w:rsidR="003A463D" w:rsidRDefault="00923081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</w:t>
      </w:r>
      <w:r w:rsidR="003A463D">
        <w:rPr>
          <w:rFonts w:ascii="Trebuchet MS" w:hAnsi="Trebuchet MS"/>
          <w:sz w:val="24"/>
          <w:szCs w:val="24"/>
          <w:lang w:eastAsia="cs-CZ"/>
        </w:rPr>
        <w:t>abezpečení jednoduchosti montáže</w:t>
      </w:r>
    </w:p>
    <w:p w:rsidR="003A463D" w:rsidRDefault="00923081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</w:t>
      </w:r>
      <w:r w:rsidR="003A463D">
        <w:rPr>
          <w:rFonts w:ascii="Trebuchet MS" w:hAnsi="Trebuchet MS"/>
          <w:sz w:val="24"/>
          <w:szCs w:val="24"/>
          <w:lang w:eastAsia="cs-CZ"/>
        </w:rPr>
        <w:t>abezpečení obrobitelnosti jednotlivých součástí</w:t>
      </w:r>
    </w:p>
    <w:p w:rsidR="003A463D" w:rsidRDefault="003A463D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A463D" w:rsidRDefault="003A463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Při výrobě pěti výrobků se při montáži použije řešení rozměrového řetězce:</w:t>
      </w:r>
    </w:p>
    <w:p w:rsidR="003A463D" w:rsidRDefault="00923081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ú</w:t>
      </w:r>
      <w:r w:rsidR="003A463D">
        <w:rPr>
          <w:rFonts w:ascii="Trebuchet MS" w:hAnsi="Trebuchet MS"/>
          <w:sz w:val="24"/>
          <w:szCs w:val="24"/>
          <w:lang w:eastAsia="cs-CZ"/>
        </w:rPr>
        <w:t>plnou vyměnitelností montovaných součástí</w:t>
      </w:r>
    </w:p>
    <w:p w:rsidR="003A463D" w:rsidRDefault="00923081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="003A463D">
        <w:rPr>
          <w:rFonts w:ascii="Trebuchet MS" w:hAnsi="Trebuchet MS"/>
          <w:sz w:val="24"/>
          <w:szCs w:val="24"/>
          <w:lang w:eastAsia="cs-CZ"/>
        </w:rPr>
        <w:t>elekcí montovaných součástí</w:t>
      </w:r>
    </w:p>
    <w:p w:rsidR="003A463D" w:rsidRPr="0099677E" w:rsidRDefault="00923081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ú</w:t>
      </w:r>
      <w:r w:rsidR="003A463D">
        <w:rPr>
          <w:rFonts w:ascii="Trebuchet MS" w:hAnsi="Trebuchet MS"/>
          <w:sz w:val="24"/>
          <w:szCs w:val="24"/>
          <w:lang w:eastAsia="cs-CZ"/>
        </w:rPr>
        <w:t>pravou montovaných součástí</w:t>
      </w:r>
    </w:p>
    <w:p w:rsidR="003A463D" w:rsidRDefault="003A463D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A463D" w:rsidRDefault="003A463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Když řeším správnost výsledné tolerance montované součásti metodou kompenzační:</w:t>
      </w:r>
    </w:p>
    <w:p w:rsidR="003A463D" w:rsidRDefault="00923081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j</w:t>
      </w:r>
      <w:r w:rsidR="003A463D">
        <w:rPr>
          <w:rFonts w:ascii="Trebuchet MS" w:hAnsi="Trebuchet MS"/>
          <w:sz w:val="24"/>
          <w:szCs w:val="24"/>
          <w:lang w:eastAsia="cs-CZ"/>
        </w:rPr>
        <w:t>ednotlivé součásti vstupující do montáže musí mít záporné tolerance</w:t>
      </w:r>
    </w:p>
    <w:p w:rsidR="003A463D" w:rsidRDefault="00923081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j</w:t>
      </w:r>
      <w:r w:rsidR="003A463D">
        <w:rPr>
          <w:rFonts w:ascii="Trebuchet MS" w:hAnsi="Trebuchet MS"/>
          <w:sz w:val="24"/>
          <w:szCs w:val="24"/>
          <w:lang w:eastAsia="cs-CZ"/>
        </w:rPr>
        <w:t>ednotlivé součásti vstupující do montáže musí mít kladné tolerance</w:t>
      </w:r>
    </w:p>
    <w:p w:rsidR="003A463D" w:rsidRDefault="00923081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j</w:t>
      </w:r>
      <w:r w:rsidR="003A463D">
        <w:rPr>
          <w:rFonts w:ascii="Trebuchet MS" w:hAnsi="Trebuchet MS"/>
          <w:sz w:val="24"/>
          <w:szCs w:val="24"/>
          <w:lang w:eastAsia="cs-CZ"/>
        </w:rPr>
        <w:t>ednotlivé součásti vstupující do montáže mohou mít libovolné tolerance</w:t>
      </w:r>
    </w:p>
    <w:p w:rsidR="003A463D" w:rsidRDefault="003A463D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A463D" w:rsidRDefault="003A463D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Hlavním ukazatelem technologičnosti montáže jsou:</w:t>
      </w:r>
    </w:p>
    <w:p w:rsidR="003A463D" w:rsidRDefault="00923081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="003A463D">
        <w:rPr>
          <w:rFonts w:ascii="Trebuchet MS" w:hAnsi="Trebuchet MS"/>
          <w:sz w:val="24"/>
          <w:szCs w:val="24"/>
          <w:lang w:eastAsia="cs-CZ"/>
        </w:rPr>
        <w:t>potřeba času</w:t>
      </w:r>
    </w:p>
    <w:p w:rsidR="003A463D" w:rsidRDefault="00923081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3A463D">
        <w:rPr>
          <w:rFonts w:ascii="Trebuchet MS" w:hAnsi="Trebuchet MS"/>
          <w:sz w:val="24"/>
          <w:szCs w:val="24"/>
          <w:lang w:eastAsia="cs-CZ"/>
        </w:rPr>
        <w:t>racnost a náklady</w:t>
      </w:r>
    </w:p>
    <w:p w:rsidR="003A463D" w:rsidRDefault="00923081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3A463D">
        <w:rPr>
          <w:rFonts w:ascii="Trebuchet MS" w:hAnsi="Trebuchet MS"/>
          <w:sz w:val="24"/>
          <w:szCs w:val="24"/>
          <w:lang w:eastAsia="cs-CZ"/>
        </w:rPr>
        <w:t>očet použitých montážních přípravků</w:t>
      </w:r>
    </w:p>
    <w:p w:rsidR="003A463D" w:rsidRDefault="003A463D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A463D" w:rsidRDefault="003A463D" w:rsidP="003A12AF">
      <w:pPr>
        <w:jc w:val="center"/>
        <w:rPr>
          <w:rFonts w:ascii="Trebuchet MS" w:hAnsi="Trebuchet MS"/>
          <w:sz w:val="24"/>
          <w:szCs w:val="24"/>
          <w:lang w:eastAsia="cs-CZ"/>
        </w:rPr>
      </w:pPr>
    </w:p>
    <w:sectPr w:rsidR="003A463D" w:rsidSect="009358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64" w:rsidRDefault="00934464" w:rsidP="00141D13">
      <w:pPr>
        <w:spacing w:after="0" w:line="240" w:lineRule="auto"/>
      </w:pPr>
      <w:r>
        <w:separator/>
      </w:r>
    </w:p>
  </w:endnote>
  <w:endnote w:type="continuationSeparator" w:id="0">
    <w:p w:rsidR="00934464" w:rsidRDefault="00934464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DOHI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DOHPJ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FCCH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FCC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3D" w:rsidRPr="00966D23" w:rsidRDefault="003A463D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VY_32_INOVACE_10_3_06</w:t>
    </w:r>
    <w:r w:rsidRPr="00966D23">
      <w:rPr>
        <w:rFonts w:ascii="Trebuchet MS" w:hAnsi="Trebuchet MS"/>
      </w:rPr>
      <w:t xml:space="preserve">                         </w:t>
    </w:r>
    <w:r w:rsidR="002A691A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2A691A" w:rsidRPr="00966D23">
      <w:rPr>
        <w:rFonts w:ascii="Trebuchet MS" w:hAnsi="Trebuchet MS"/>
      </w:rPr>
      <w:fldChar w:fldCharType="separate"/>
    </w:r>
    <w:r w:rsidR="00155BF6">
      <w:rPr>
        <w:rFonts w:ascii="Trebuchet MS" w:hAnsi="Trebuchet MS"/>
        <w:noProof/>
      </w:rPr>
      <w:t>5</w:t>
    </w:r>
    <w:r w:rsidR="002A691A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                           „EU</w:t>
    </w:r>
    <w:proofErr w:type="gramEnd"/>
    <w:r w:rsidRPr="00966D23">
      <w:rPr>
        <w:rFonts w:ascii="Trebuchet MS" w:hAnsi="Trebuchet MS"/>
      </w:rPr>
      <w:t xml:space="preserve"> Peníze školám“</w:t>
    </w:r>
  </w:p>
  <w:p w:rsidR="003A463D" w:rsidRDefault="003A463D">
    <w:pPr>
      <w:pStyle w:val="Zpat"/>
    </w:pPr>
  </w:p>
  <w:p w:rsidR="003A463D" w:rsidRDefault="003A46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64" w:rsidRDefault="00934464" w:rsidP="00141D13">
      <w:pPr>
        <w:spacing w:after="0" w:line="240" w:lineRule="auto"/>
      </w:pPr>
      <w:r>
        <w:separator/>
      </w:r>
    </w:p>
  </w:footnote>
  <w:footnote w:type="continuationSeparator" w:id="0">
    <w:p w:rsidR="00934464" w:rsidRDefault="00934464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3D" w:rsidRDefault="00DD6F23">
    <w:pPr>
      <w:pStyle w:val="Zhlav"/>
    </w:pPr>
    <w:r>
      <w:rPr>
        <w:noProof/>
        <w:lang w:eastAsia="cs-CZ"/>
      </w:rPr>
      <w:drawing>
        <wp:inline distT="0" distB="0" distL="0" distR="0">
          <wp:extent cx="5762625" cy="1247775"/>
          <wp:effectExtent l="19050" t="0" r="9525" b="0"/>
          <wp:docPr id="1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463D" w:rsidRDefault="003A463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200C9"/>
    <w:rsid w:val="00020B4D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4A3D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2400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F0E39"/>
    <w:rsid w:val="000F7AE4"/>
    <w:rsid w:val="00101E43"/>
    <w:rsid w:val="00103730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55BF6"/>
    <w:rsid w:val="00160D20"/>
    <w:rsid w:val="00162CD5"/>
    <w:rsid w:val="0016386E"/>
    <w:rsid w:val="00167772"/>
    <w:rsid w:val="00170E0D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6545"/>
    <w:rsid w:val="001D0C55"/>
    <w:rsid w:val="001D34DB"/>
    <w:rsid w:val="001D430E"/>
    <w:rsid w:val="001D5E16"/>
    <w:rsid w:val="001D7382"/>
    <w:rsid w:val="001E312A"/>
    <w:rsid w:val="001E35A6"/>
    <w:rsid w:val="001F118B"/>
    <w:rsid w:val="001F2C10"/>
    <w:rsid w:val="001F3FD6"/>
    <w:rsid w:val="001F40A1"/>
    <w:rsid w:val="00202454"/>
    <w:rsid w:val="00204279"/>
    <w:rsid w:val="00205991"/>
    <w:rsid w:val="00212D86"/>
    <w:rsid w:val="00215019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285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45F"/>
    <w:rsid w:val="002A2F82"/>
    <w:rsid w:val="002A323C"/>
    <w:rsid w:val="002A33AF"/>
    <w:rsid w:val="002A4431"/>
    <w:rsid w:val="002A5385"/>
    <w:rsid w:val="002A691A"/>
    <w:rsid w:val="002B0C2D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25EA0"/>
    <w:rsid w:val="003315BB"/>
    <w:rsid w:val="00331F16"/>
    <w:rsid w:val="003320D7"/>
    <w:rsid w:val="00333BA5"/>
    <w:rsid w:val="003443D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63D"/>
    <w:rsid w:val="003A4B6C"/>
    <w:rsid w:val="003B2550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F60"/>
    <w:rsid w:val="003E6A0B"/>
    <w:rsid w:val="003F2B77"/>
    <w:rsid w:val="003F612D"/>
    <w:rsid w:val="004125B7"/>
    <w:rsid w:val="00412941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2E6D"/>
    <w:rsid w:val="004430E1"/>
    <w:rsid w:val="00445AA9"/>
    <w:rsid w:val="00447B3C"/>
    <w:rsid w:val="0045379E"/>
    <w:rsid w:val="00455632"/>
    <w:rsid w:val="00461322"/>
    <w:rsid w:val="004616DB"/>
    <w:rsid w:val="00463ECD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0A2D"/>
    <w:rsid w:val="005636E8"/>
    <w:rsid w:val="00565B84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0F10"/>
    <w:rsid w:val="005F3A86"/>
    <w:rsid w:val="005F5FBA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758C5"/>
    <w:rsid w:val="006822DC"/>
    <w:rsid w:val="00682D20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C3D82"/>
    <w:rsid w:val="006C6184"/>
    <w:rsid w:val="006C70B0"/>
    <w:rsid w:val="006C7E19"/>
    <w:rsid w:val="006D044C"/>
    <w:rsid w:val="006D098C"/>
    <w:rsid w:val="006D0C2C"/>
    <w:rsid w:val="006D2029"/>
    <w:rsid w:val="006D7511"/>
    <w:rsid w:val="006F7FC5"/>
    <w:rsid w:val="007016BA"/>
    <w:rsid w:val="007044DD"/>
    <w:rsid w:val="007070C4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674A2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97E68"/>
    <w:rsid w:val="007A30D6"/>
    <w:rsid w:val="007A3AA6"/>
    <w:rsid w:val="007A4658"/>
    <w:rsid w:val="007B1AAB"/>
    <w:rsid w:val="007C3D79"/>
    <w:rsid w:val="007C454A"/>
    <w:rsid w:val="007C56DA"/>
    <w:rsid w:val="007C63E1"/>
    <w:rsid w:val="007D2986"/>
    <w:rsid w:val="007E32F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10382"/>
    <w:rsid w:val="00822CE4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1DE6"/>
    <w:rsid w:val="00874A1F"/>
    <w:rsid w:val="00882A6E"/>
    <w:rsid w:val="00886003"/>
    <w:rsid w:val="00887004"/>
    <w:rsid w:val="0088772E"/>
    <w:rsid w:val="008879FF"/>
    <w:rsid w:val="00892F04"/>
    <w:rsid w:val="0089336F"/>
    <w:rsid w:val="00897408"/>
    <w:rsid w:val="008A26B8"/>
    <w:rsid w:val="008A2D6A"/>
    <w:rsid w:val="008A39A2"/>
    <w:rsid w:val="008A456E"/>
    <w:rsid w:val="008A472B"/>
    <w:rsid w:val="008A5385"/>
    <w:rsid w:val="008A7BE2"/>
    <w:rsid w:val="008B1897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E7915"/>
    <w:rsid w:val="008F0263"/>
    <w:rsid w:val="008F1701"/>
    <w:rsid w:val="00904E25"/>
    <w:rsid w:val="00907D10"/>
    <w:rsid w:val="00913461"/>
    <w:rsid w:val="00913CC4"/>
    <w:rsid w:val="00916303"/>
    <w:rsid w:val="009203F6"/>
    <w:rsid w:val="00922F68"/>
    <w:rsid w:val="00923081"/>
    <w:rsid w:val="00925D58"/>
    <w:rsid w:val="00934464"/>
    <w:rsid w:val="00934476"/>
    <w:rsid w:val="009358D2"/>
    <w:rsid w:val="0093725E"/>
    <w:rsid w:val="00942225"/>
    <w:rsid w:val="00942812"/>
    <w:rsid w:val="00943441"/>
    <w:rsid w:val="00943CC7"/>
    <w:rsid w:val="00943F51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D23"/>
    <w:rsid w:val="009670E6"/>
    <w:rsid w:val="009730CE"/>
    <w:rsid w:val="00973FD2"/>
    <w:rsid w:val="00975BDD"/>
    <w:rsid w:val="00980DDD"/>
    <w:rsid w:val="00990E3C"/>
    <w:rsid w:val="0099677E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9EC"/>
    <w:rsid w:val="009C7F66"/>
    <w:rsid w:val="009D2390"/>
    <w:rsid w:val="009D2BFB"/>
    <w:rsid w:val="009D3C26"/>
    <w:rsid w:val="009E063B"/>
    <w:rsid w:val="009E6E20"/>
    <w:rsid w:val="009F0246"/>
    <w:rsid w:val="009F1310"/>
    <w:rsid w:val="009F30A9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31487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32F0"/>
    <w:rsid w:val="00A6502B"/>
    <w:rsid w:val="00A668D5"/>
    <w:rsid w:val="00A674FB"/>
    <w:rsid w:val="00A7438E"/>
    <w:rsid w:val="00A77C53"/>
    <w:rsid w:val="00A80998"/>
    <w:rsid w:val="00A8434F"/>
    <w:rsid w:val="00A843D3"/>
    <w:rsid w:val="00A85ED3"/>
    <w:rsid w:val="00A908B9"/>
    <w:rsid w:val="00A91246"/>
    <w:rsid w:val="00A91CDE"/>
    <w:rsid w:val="00A93D01"/>
    <w:rsid w:val="00A94058"/>
    <w:rsid w:val="00A976B9"/>
    <w:rsid w:val="00AB031E"/>
    <w:rsid w:val="00AB3D3D"/>
    <w:rsid w:val="00AC279B"/>
    <w:rsid w:val="00AD69AF"/>
    <w:rsid w:val="00AE5C70"/>
    <w:rsid w:val="00AF52ED"/>
    <w:rsid w:val="00AF5637"/>
    <w:rsid w:val="00B01EEC"/>
    <w:rsid w:val="00B05163"/>
    <w:rsid w:val="00B1000E"/>
    <w:rsid w:val="00B1469B"/>
    <w:rsid w:val="00B204CF"/>
    <w:rsid w:val="00B24715"/>
    <w:rsid w:val="00B314CB"/>
    <w:rsid w:val="00B32824"/>
    <w:rsid w:val="00B335A6"/>
    <w:rsid w:val="00B43353"/>
    <w:rsid w:val="00B4738C"/>
    <w:rsid w:val="00B51353"/>
    <w:rsid w:val="00B54B16"/>
    <w:rsid w:val="00B5575E"/>
    <w:rsid w:val="00B621E5"/>
    <w:rsid w:val="00B6307A"/>
    <w:rsid w:val="00B663A6"/>
    <w:rsid w:val="00B66E92"/>
    <w:rsid w:val="00B724CB"/>
    <w:rsid w:val="00B727A5"/>
    <w:rsid w:val="00B83907"/>
    <w:rsid w:val="00B861A6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553E"/>
    <w:rsid w:val="00BE6160"/>
    <w:rsid w:val="00BF2250"/>
    <w:rsid w:val="00BF3B9F"/>
    <w:rsid w:val="00C00CCD"/>
    <w:rsid w:val="00C03671"/>
    <w:rsid w:val="00C04EDC"/>
    <w:rsid w:val="00C058F6"/>
    <w:rsid w:val="00C14EF6"/>
    <w:rsid w:val="00C2699B"/>
    <w:rsid w:val="00C3096A"/>
    <w:rsid w:val="00C30C2D"/>
    <w:rsid w:val="00C368BF"/>
    <w:rsid w:val="00C4216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37F3E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80787"/>
    <w:rsid w:val="00D8415E"/>
    <w:rsid w:val="00D90437"/>
    <w:rsid w:val="00D916A1"/>
    <w:rsid w:val="00D920F7"/>
    <w:rsid w:val="00D93494"/>
    <w:rsid w:val="00D94F8A"/>
    <w:rsid w:val="00D9748E"/>
    <w:rsid w:val="00DA2356"/>
    <w:rsid w:val="00DA261A"/>
    <w:rsid w:val="00DA3082"/>
    <w:rsid w:val="00DA365D"/>
    <w:rsid w:val="00DB0484"/>
    <w:rsid w:val="00DC0204"/>
    <w:rsid w:val="00DC18C6"/>
    <w:rsid w:val="00DC4A01"/>
    <w:rsid w:val="00DC5B36"/>
    <w:rsid w:val="00DC7F4F"/>
    <w:rsid w:val="00DD082E"/>
    <w:rsid w:val="00DD0B2A"/>
    <w:rsid w:val="00DD2214"/>
    <w:rsid w:val="00DD384E"/>
    <w:rsid w:val="00DD4182"/>
    <w:rsid w:val="00DD6F23"/>
    <w:rsid w:val="00DD70A6"/>
    <w:rsid w:val="00DE0849"/>
    <w:rsid w:val="00DF092A"/>
    <w:rsid w:val="00DF6D28"/>
    <w:rsid w:val="00E009B2"/>
    <w:rsid w:val="00E01DA4"/>
    <w:rsid w:val="00E04DED"/>
    <w:rsid w:val="00E14B9C"/>
    <w:rsid w:val="00E2156C"/>
    <w:rsid w:val="00E33912"/>
    <w:rsid w:val="00E3403B"/>
    <w:rsid w:val="00E37C4E"/>
    <w:rsid w:val="00E40894"/>
    <w:rsid w:val="00E43218"/>
    <w:rsid w:val="00E61434"/>
    <w:rsid w:val="00E623D1"/>
    <w:rsid w:val="00E71FB0"/>
    <w:rsid w:val="00E7424E"/>
    <w:rsid w:val="00E764E8"/>
    <w:rsid w:val="00E81B26"/>
    <w:rsid w:val="00E82AAE"/>
    <w:rsid w:val="00E86DF7"/>
    <w:rsid w:val="00E87DE4"/>
    <w:rsid w:val="00E907E4"/>
    <w:rsid w:val="00E919D2"/>
    <w:rsid w:val="00E95C67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20326"/>
    <w:rsid w:val="00F2274A"/>
    <w:rsid w:val="00F25F9D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E0F31"/>
    <w:rsid w:val="00FF0E3F"/>
    <w:rsid w:val="00FF1249"/>
    <w:rsid w:val="00FF265E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9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90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291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80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hethova</cp:lastModifiedBy>
  <cp:revision>7</cp:revision>
  <cp:lastPrinted>2012-09-12T07:32:00Z</cp:lastPrinted>
  <dcterms:created xsi:type="dcterms:W3CDTF">2013-03-04T16:12:00Z</dcterms:created>
  <dcterms:modified xsi:type="dcterms:W3CDTF">2013-03-04T17:24:00Z</dcterms:modified>
</cp:coreProperties>
</file>