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A" w:rsidRDefault="0022738A" w:rsidP="00B52D0C">
      <w:pPr>
        <w:jc w:val="center"/>
        <w:rPr>
          <w:rFonts w:ascii="Albertus MT" w:hAnsi="Albertus MT"/>
          <w:b/>
        </w:rPr>
      </w:pP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22738A" w:rsidRPr="00B23A66" w:rsidRDefault="0022738A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209"/>
      </w:tblGrid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613996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47256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Nezaměstnanost, podpora v </w:t>
            </w:r>
            <w:r w:rsidRPr="00472560">
              <w:rPr>
                <w:rFonts w:ascii="Trebuchet MS" w:hAnsi="Trebuchet MS"/>
              </w:rPr>
              <w:t>nezaměstnanosti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9B3B61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22738A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5209" w:type="dxa"/>
            <w:vAlign w:val="center"/>
          </w:tcPr>
          <w:p w:rsidR="0022738A" w:rsidRDefault="0022738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22738A" w:rsidRPr="002E2632" w:rsidRDefault="0022738A" w:rsidP="0061399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9C3940">
              <w:rPr>
                <w:rFonts w:ascii="Trebuchet MS" w:hAnsi="Trebuchet MS"/>
              </w:rPr>
              <w:t>.</w:t>
            </w:r>
          </w:p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22738A" w:rsidRPr="002E2632" w:rsidRDefault="0022738A" w:rsidP="00613996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9C3940">
              <w:rPr>
                <w:rFonts w:ascii="Trebuchet MS" w:hAnsi="Trebuchet MS"/>
              </w:rPr>
              <w:t>.</w:t>
            </w:r>
          </w:p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22738A" w:rsidRPr="002E2632" w:rsidRDefault="0022738A" w:rsidP="00613996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</w:t>
            </w:r>
            <w:r w:rsidRPr="002E2632">
              <w:rPr>
                <w:rFonts w:ascii="Trebuchet MS" w:hAnsi="Trebuchet MS"/>
              </w:rPr>
              <w:lastRenderedPageBreak/>
              <w:t>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9C3940">
              <w:rPr>
                <w:rFonts w:ascii="Trebuchet MS" w:hAnsi="Trebuchet MS"/>
              </w:rPr>
              <w:t>.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613996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5209" w:type="dxa"/>
            <w:vAlign w:val="center"/>
          </w:tcPr>
          <w:p w:rsidR="0022738A" w:rsidRDefault="0022738A" w:rsidP="0061399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Klínský</w:t>
            </w:r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>, Münch, O.,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Ekonomika, Ekonomická a finanční gramotnost pro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21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</w:t>
            </w:r>
            <w:r w:rsidRPr="002E2632">
              <w:rPr>
                <w:rFonts w:ascii="Trebuchet MS" w:hAnsi="Trebuchet MS"/>
              </w:rPr>
              <w:t>.</w:t>
            </w:r>
          </w:p>
          <w:p w:rsidR="0022738A" w:rsidRPr="002E2632" w:rsidRDefault="0022738A" w:rsidP="00613996">
            <w:pPr>
              <w:rPr>
                <w:rFonts w:ascii="Trebuchet MS" w:hAnsi="Trebuchet MS"/>
              </w:rPr>
            </w:pPr>
            <w:r w:rsidRPr="00CD5CCA">
              <w:rPr>
                <w:rFonts w:ascii="Trebuchet MS" w:hAnsi="Trebuchet MS"/>
              </w:rPr>
              <w:t xml:space="preserve">Portál MPSV. Portál MPSV [online]. 2011 </w:t>
            </w:r>
            <w:r w:rsidR="00613996">
              <w:rPr>
                <w:rFonts w:ascii="Trebuchet MS" w:hAnsi="Trebuchet MS"/>
              </w:rPr>
              <w:br/>
            </w:r>
            <w:r w:rsidRPr="00CD5CCA">
              <w:rPr>
                <w:rFonts w:ascii="Trebuchet MS" w:hAnsi="Trebuchet MS"/>
              </w:rPr>
              <w:t>[cit. 2013-01-28]. Dostupné z: http://portal.mpsv.cz/sz/obecne/cinnosti_up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5209" w:type="dxa"/>
            <w:vAlign w:val="center"/>
          </w:tcPr>
          <w:p w:rsidR="0022738A" w:rsidRPr="002E2632" w:rsidRDefault="00613996" w:rsidP="006139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22738A" w:rsidRPr="002E2632">
              <w:rPr>
                <w:rFonts w:ascii="Trebuchet MS" w:hAnsi="Trebuchet MS"/>
              </w:rPr>
              <w:t>, internet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47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Nezaměstnanost, podpora v n</w:t>
            </w:r>
            <w:r w:rsidRPr="00472560">
              <w:rPr>
                <w:rFonts w:ascii="Trebuchet MS" w:hAnsi="Trebuchet MS"/>
              </w:rPr>
              <w:t>ezaměstnanosti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5209" w:type="dxa"/>
            <w:vAlign w:val="center"/>
          </w:tcPr>
          <w:p w:rsidR="0022738A" w:rsidRPr="002E2632" w:rsidRDefault="0022738A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22738A" w:rsidRPr="002E2632" w:rsidTr="00DC23A1">
        <w:trPr>
          <w:trHeight w:val="960"/>
        </w:trPr>
        <w:tc>
          <w:tcPr>
            <w:tcW w:w="4079" w:type="dxa"/>
            <w:vAlign w:val="center"/>
          </w:tcPr>
          <w:p w:rsidR="0022738A" w:rsidRPr="002E2632" w:rsidRDefault="0022738A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5209" w:type="dxa"/>
            <w:vAlign w:val="center"/>
          </w:tcPr>
          <w:p w:rsidR="0022738A" w:rsidRPr="002E2632" w:rsidRDefault="00613996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Leden </w:t>
            </w:r>
            <w:r w:rsidR="0022738A" w:rsidRPr="002E2632">
              <w:rPr>
                <w:rFonts w:ascii="Trebuchet MS" w:hAnsi="Trebuchet MS"/>
              </w:rPr>
              <w:t>201</w:t>
            </w:r>
            <w:r w:rsidR="0022738A">
              <w:rPr>
                <w:rFonts w:ascii="Trebuchet MS" w:hAnsi="Trebuchet MS"/>
              </w:rPr>
              <w:t>3</w:t>
            </w:r>
          </w:p>
        </w:tc>
      </w:tr>
    </w:tbl>
    <w:p w:rsidR="0022738A" w:rsidRDefault="0022738A" w:rsidP="00B52D0C">
      <w:pPr>
        <w:rPr>
          <w:rFonts w:ascii="Trebuchet MS" w:hAnsi="Trebuchet MS"/>
          <w:i/>
          <w:sz w:val="20"/>
          <w:szCs w:val="20"/>
        </w:rPr>
      </w:pPr>
    </w:p>
    <w:p w:rsidR="0022738A" w:rsidRPr="00DA4754" w:rsidRDefault="0022738A" w:rsidP="00613996">
      <w:pPr>
        <w:spacing w:line="360" w:lineRule="auto"/>
        <w:jc w:val="both"/>
        <w:rPr>
          <w:rFonts w:ascii="Trebuchet MS" w:hAnsi="Trebuchet MS"/>
          <w:i/>
        </w:rPr>
      </w:pPr>
      <w:r w:rsidRPr="00DA4754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 w:rsidR="00DA4754">
        <w:rPr>
          <w:rFonts w:ascii="Trebuchet MS" w:hAnsi="Trebuchet MS"/>
          <w:i/>
        </w:rPr>
        <w:br/>
      </w:r>
      <w:r w:rsidRPr="00DA4754">
        <w:rPr>
          <w:rFonts w:ascii="Trebuchet MS" w:hAnsi="Trebuchet MS"/>
          <w:i/>
        </w:rPr>
        <w:t>a obrázků je Ing. Bohuslava Čežíková.</w:t>
      </w:r>
    </w:p>
    <w:p w:rsidR="0022738A" w:rsidRPr="00DA4754" w:rsidRDefault="0022738A" w:rsidP="00B52D0C">
      <w:pPr>
        <w:rPr>
          <w:rFonts w:ascii="Trebuchet MS" w:hAnsi="Trebuchet MS"/>
          <w:i/>
        </w:rPr>
      </w:pPr>
    </w:p>
    <w:p w:rsidR="0022738A" w:rsidRPr="0049726A" w:rsidRDefault="0022738A" w:rsidP="00613996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613996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Nezaměstnanost na trhu práce měříme </w:t>
      </w:r>
      <w:r w:rsidR="009B3B61">
        <w:rPr>
          <w:rFonts w:ascii="Trebuchet MS" w:hAnsi="Trebuchet MS"/>
        </w:rPr>
        <w:t>ukazatelem míry</w:t>
      </w:r>
      <w:r>
        <w:rPr>
          <w:rFonts w:ascii="Trebuchet MS" w:hAnsi="Trebuchet MS"/>
        </w:rPr>
        <w:t xml:space="preserve"> nezaměstnanosti:</w:t>
      </w:r>
    </w:p>
    <w:p w:rsidR="0022738A" w:rsidRPr="00503132" w:rsidRDefault="00107A6F" w:rsidP="00503132">
      <w:pPr>
        <w:spacing w:before="240" w:after="120" w:line="276" w:lineRule="auto"/>
        <w:ind w:left="1416"/>
        <w:jc w:val="center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Trebuchet MS"/>
            </w:rPr>
            <m:t xml:space="preserve"> =</m:t>
          </m:r>
          <m:f>
            <m:fPr>
              <m:ctrlPr>
                <w:rPr>
                  <w:rFonts w:ascii="Cambria Math" w:hAnsi="Trebuchet MS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Trebuchet MS"/>
                </w:rPr>
                <m:t>+</m:t>
              </m:r>
              <m:r>
                <w:rPr>
                  <w:rFonts w:ascii="Cambria Math" w:hAnsi="Cambria Math"/>
                </w:rPr>
                <m:t>U</m:t>
              </m:r>
            </m:den>
          </m:f>
        </m:oMath>
      </m:oMathPara>
    </w:p>
    <w:p w:rsidR="0022738A" w:rsidRDefault="009B3B61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 = míra nezaměstnanosti</w:t>
      </w:r>
    </w:p>
    <w:p w:rsidR="0022738A" w:rsidRDefault="009B3B61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 = počet nezaměstnaných</w:t>
      </w:r>
    </w:p>
    <w:p w:rsidR="0022738A" w:rsidRDefault="009B3B61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 = počet zaměstnaných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Obyvatelstvo:</w:t>
      </w:r>
    </w:p>
    <w:p w:rsidR="0022738A" w:rsidRPr="00B8027D" w:rsidRDefault="009B3B61" w:rsidP="00B8027D">
      <w:pPr>
        <w:pStyle w:val="Odstavecseseznamem"/>
        <w:numPr>
          <w:ilvl w:val="0"/>
          <w:numId w:val="9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22738A" w:rsidRPr="00B8027D">
        <w:rPr>
          <w:rFonts w:ascii="Trebuchet MS" w:hAnsi="Trebuchet MS"/>
        </w:rPr>
        <w:t>konomicky aktivní</w:t>
      </w:r>
      <w:r w:rsidR="0022738A">
        <w:rPr>
          <w:rFonts w:ascii="Trebuchet MS" w:hAnsi="Trebuchet MS"/>
        </w:rPr>
        <w:t>:</w:t>
      </w:r>
    </w:p>
    <w:p w:rsidR="0022738A" w:rsidRDefault="009B3B61" w:rsidP="00B8027D">
      <w:pPr>
        <w:pStyle w:val="Odstavecseseznamem"/>
        <w:numPr>
          <w:ilvl w:val="0"/>
          <w:numId w:val="8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2738A" w:rsidRPr="00B8027D">
        <w:rPr>
          <w:rFonts w:ascii="Trebuchet MS" w:hAnsi="Trebuchet MS"/>
        </w:rPr>
        <w:t>aměstnaní – mají placené zaměstnání nebo zaměstnávají sami sebe</w:t>
      </w:r>
    </w:p>
    <w:p w:rsidR="0022738A" w:rsidRPr="00B8027D" w:rsidRDefault="009B3B61" w:rsidP="00B8027D">
      <w:pPr>
        <w:pStyle w:val="Odstavecseseznamem"/>
        <w:numPr>
          <w:ilvl w:val="0"/>
          <w:numId w:val="8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22738A" w:rsidRPr="00B8027D">
        <w:rPr>
          <w:rFonts w:ascii="Trebuchet MS" w:hAnsi="Trebuchet MS"/>
        </w:rPr>
        <w:t>ezaměstnaní – nemají placené zaměstnání nebo sebezaměstnání, ale práci aktivně hledají – ochotní a schopní pracovat</w:t>
      </w:r>
    </w:p>
    <w:p w:rsidR="0022738A" w:rsidRPr="00B8027D" w:rsidRDefault="009B3B61" w:rsidP="00B8027D">
      <w:pPr>
        <w:pStyle w:val="Odstavecseseznamem"/>
        <w:numPr>
          <w:ilvl w:val="0"/>
          <w:numId w:val="9"/>
        </w:numPr>
        <w:spacing w:before="24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22738A" w:rsidRPr="00B8027D">
        <w:rPr>
          <w:rFonts w:ascii="Trebuchet MS" w:hAnsi="Trebuchet MS"/>
        </w:rPr>
        <w:t xml:space="preserve">konomicky neaktivní – nehledají zaměstnání – neochotní nebo neschopní pracovat – studenti, penzisté, </w:t>
      </w:r>
      <w:r w:rsidR="0022738A">
        <w:rPr>
          <w:rFonts w:ascii="Trebuchet MS" w:hAnsi="Trebuchet MS"/>
        </w:rPr>
        <w:t>...</w:t>
      </w:r>
    </w:p>
    <w:p w:rsidR="0022738A" w:rsidRDefault="0022738A" w:rsidP="00ED3BE6">
      <w:pPr>
        <w:spacing w:before="240" w:after="120" w:line="276" w:lineRule="auto"/>
        <w:jc w:val="both"/>
        <w:rPr>
          <w:rFonts w:ascii="Trebuchet MS" w:hAnsi="Trebuchet MS"/>
        </w:rPr>
      </w:pPr>
    </w:p>
    <w:p w:rsidR="0022738A" w:rsidRPr="00ED3BE6" w:rsidRDefault="0022738A" w:rsidP="00ED3BE6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D3BE6">
        <w:rPr>
          <w:rFonts w:ascii="Trebuchet MS" w:hAnsi="Trebuchet MS"/>
          <w:b/>
        </w:rPr>
        <w:t>Typy nezaměstnanosti</w:t>
      </w:r>
    </w:p>
    <w:p w:rsidR="0022738A" w:rsidRPr="00ED3BE6" w:rsidRDefault="0022738A" w:rsidP="00A5599E">
      <w:pPr>
        <w:spacing w:before="240" w:after="120" w:line="276" w:lineRule="auto"/>
        <w:jc w:val="both"/>
        <w:rPr>
          <w:rFonts w:ascii="Trebuchet MS" w:hAnsi="Trebuchet MS"/>
        </w:rPr>
      </w:pPr>
      <w:r w:rsidRPr="00ED3BE6">
        <w:rPr>
          <w:rFonts w:ascii="Trebuchet MS" w:hAnsi="Trebuchet MS"/>
        </w:rPr>
        <w:t>Podle příčiny vzniku</w:t>
      </w:r>
      <w:r w:rsidR="00613996">
        <w:rPr>
          <w:rFonts w:ascii="Trebuchet MS" w:hAnsi="Trebuchet MS"/>
        </w:rPr>
        <w:t>:</w:t>
      </w:r>
    </w:p>
    <w:p w:rsidR="0022738A" w:rsidRPr="00ED3BE6" w:rsidRDefault="009B3B61" w:rsidP="00A5599E">
      <w:pPr>
        <w:pStyle w:val="Odstavecseseznamem"/>
        <w:numPr>
          <w:ilvl w:val="0"/>
          <w:numId w:val="10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="0022738A" w:rsidRPr="00ED3BE6">
        <w:rPr>
          <w:rFonts w:ascii="Trebuchet MS" w:hAnsi="Trebuchet MS"/>
        </w:rPr>
        <w:t xml:space="preserve">rikční nezaměstnanost </w:t>
      </w:r>
      <w:r w:rsidR="0022738A">
        <w:rPr>
          <w:rFonts w:ascii="Trebuchet MS" w:hAnsi="Trebuchet MS"/>
        </w:rPr>
        <w:t>- lidé</w:t>
      </w:r>
      <w:r w:rsidR="0022738A" w:rsidRPr="00ED3BE6">
        <w:rPr>
          <w:rFonts w:ascii="Trebuchet MS" w:hAnsi="Trebuchet MS"/>
        </w:rPr>
        <w:t xml:space="preserve"> opustili staré místo a nové teprve hledají</w:t>
      </w:r>
    </w:p>
    <w:p w:rsidR="0022738A" w:rsidRPr="00ED3BE6" w:rsidRDefault="009B3B61" w:rsidP="00A5599E">
      <w:pPr>
        <w:pStyle w:val="Odstavecseseznamem"/>
        <w:numPr>
          <w:ilvl w:val="0"/>
          <w:numId w:val="10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22738A" w:rsidRPr="00ED3BE6">
        <w:rPr>
          <w:rFonts w:ascii="Trebuchet MS" w:hAnsi="Trebuchet MS"/>
        </w:rPr>
        <w:t>trukturální nezaměstnanost - vzniká v důsledku strukturálních změn v ekonomice, kdy se některá odvětví zmenšují a jiná naopak expandují</w:t>
      </w:r>
      <w:r>
        <w:rPr>
          <w:rFonts w:ascii="Trebuchet MS" w:hAnsi="Trebuchet MS"/>
        </w:rPr>
        <w:t>. J</w:t>
      </w:r>
      <w:r w:rsidR="0022738A" w:rsidRPr="00ED3BE6">
        <w:rPr>
          <w:rFonts w:ascii="Trebuchet MS" w:hAnsi="Trebuchet MS"/>
        </w:rPr>
        <w:t>e to způsobeno tím, že klesá poptávka po některých profesích, zároveň však</w:t>
      </w:r>
      <w:r>
        <w:rPr>
          <w:rFonts w:ascii="Trebuchet MS" w:hAnsi="Trebuchet MS"/>
        </w:rPr>
        <w:t xml:space="preserve"> roste poptávka po jiných</w:t>
      </w:r>
      <w:r w:rsidR="0022738A" w:rsidRPr="00ED3BE6">
        <w:rPr>
          <w:rFonts w:ascii="Trebuchet MS" w:hAnsi="Trebuchet MS"/>
        </w:rPr>
        <w:t xml:space="preserve">, obvykle trvá déle než frikční nezaměstnanost, </w:t>
      </w:r>
      <w:r w:rsidR="0022738A">
        <w:rPr>
          <w:rFonts w:ascii="Trebuchet MS" w:hAnsi="Trebuchet MS"/>
        </w:rPr>
        <w:t>jde o </w:t>
      </w:r>
      <w:r w:rsidR="0022738A" w:rsidRPr="00ED3BE6">
        <w:rPr>
          <w:rFonts w:ascii="Trebuchet MS" w:hAnsi="Trebuchet MS"/>
        </w:rPr>
        <w:t>větší zásah do života, lidé mění profese, prochází rekvalifikačními kurzy apod.</w:t>
      </w:r>
      <w:r w:rsidR="0022738A">
        <w:rPr>
          <w:rFonts w:ascii="Trebuchet MS" w:hAnsi="Trebuchet MS"/>
        </w:rPr>
        <w:t>; j</w:t>
      </w:r>
      <w:r w:rsidR="0022738A" w:rsidRPr="00ED3BE6">
        <w:rPr>
          <w:rFonts w:ascii="Trebuchet MS" w:hAnsi="Trebuchet MS"/>
        </w:rPr>
        <w:t>e to přirozená nezaměstnanost, trh se přirozeně vyvíjí, pokud by tomu tak nebylo, trh by se vyřadil ze světové soutěže a zaostával by</w:t>
      </w:r>
    </w:p>
    <w:p w:rsidR="0022738A" w:rsidRDefault="009B3B61" w:rsidP="00A5599E">
      <w:pPr>
        <w:pStyle w:val="Odstavecseseznamem"/>
        <w:numPr>
          <w:ilvl w:val="0"/>
          <w:numId w:val="10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</w:t>
      </w:r>
      <w:r w:rsidR="0022738A" w:rsidRPr="0007750F">
        <w:rPr>
          <w:rFonts w:ascii="Trebuchet MS" w:hAnsi="Trebuchet MS"/>
        </w:rPr>
        <w:t>yklická nezaměstnanost - nastává, když je</w:t>
      </w:r>
      <w:r w:rsidR="0022738A">
        <w:rPr>
          <w:rFonts w:ascii="Trebuchet MS" w:hAnsi="Trebuchet MS"/>
        </w:rPr>
        <w:t xml:space="preserve"> ekonomika v poklesu (recesi) a </w:t>
      </w:r>
      <w:r w:rsidR="0022738A" w:rsidRPr="0007750F">
        <w:rPr>
          <w:rFonts w:ascii="Trebuchet MS" w:hAnsi="Trebuchet MS"/>
        </w:rPr>
        <w:t xml:space="preserve">nastává pokles zaměstnanosti prakticky ve všech odvětvích, </w:t>
      </w:r>
      <w:r w:rsidR="0022738A">
        <w:rPr>
          <w:rFonts w:ascii="Trebuchet MS" w:hAnsi="Trebuchet MS"/>
        </w:rPr>
        <w:t>n</w:t>
      </w:r>
      <w:r w:rsidR="0022738A" w:rsidRPr="0007750F">
        <w:rPr>
          <w:rFonts w:ascii="Trebuchet MS" w:hAnsi="Trebuchet MS"/>
        </w:rPr>
        <w:t>ení téměř možné se rekvalifikovat na jinou profesi a najít práci, protože nezaměstnanost panuje ve všech odvětvích</w:t>
      </w:r>
    </w:p>
    <w:p w:rsidR="0022738A" w:rsidRPr="0007750F" w:rsidRDefault="009B3B61" w:rsidP="00A5599E">
      <w:pPr>
        <w:pStyle w:val="Odstavecseseznamem"/>
        <w:numPr>
          <w:ilvl w:val="0"/>
          <w:numId w:val="10"/>
        </w:numPr>
        <w:spacing w:before="24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22738A" w:rsidRPr="0007750F">
        <w:rPr>
          <w:rFonts w:ascii="Trebuchet MS" w:hAnsi="Trebuchet MS"/>
        </w:rPr>
        <w:t xml:space="preserve">ezónní nezaměstnanost - souvisí se změnami ročního období, kdy se některé práce nedají vykonávat, </w:t>
      </w:r>
      <w:r w:rsidR="00613996">
        <w:rPr>
          <w:rFonts w:ascii="Trebuchet MS" w:hAnsi="Trebuchet MS"/>
        </w:rPr>
        <w:t xml:space="preserve"> např.</w:t>
      </w:r>
      <w:r>
        <w:rPr>
          <w:rFonts w:ascii="Trebuchet MS" w:hAnsi="Trebuchet MS"/>
        </w:rPr>
        <w:t xml:space="preserve"> zemědělství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času:</w:t>
      </w:r>
    </w:p>
    <w:p w:rsidR="0022738A" w:rsidRDefault="009B3B61" w:rsidP="008A02C9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krátkodobá</w:t>
      </w:r>
    </w:p>
    <w:p w:rsidR="0022738A" w:rsidRDefault="009B3B61" w:rsidP="008A02C9">
      <w:pPr>
        <w:pStyle w:val="Odstavecseseznamem"/>
        <w:numPr>
          <w:ilvl w:val="0"/>
          <w:numId w:val="11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dlouhodobá</w:t>
      </w:r>
    </w:p>
    <w:p w:rsidR="0022738A" w:rsidRDefault="0022738A" w:rsidP="008A02C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dobrovolnosti:</w:t>
      </w:r>
    </w:p>
    <w:p w:rsidR="0022738A" w:rsidRDefault="009B3B61" w:rsidP="00AF0114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22738A">
        <w:rPr>
          <w:rFonts w:ascii="Trebuchet MS" w:hAnsi="Trebuchet MS"/>
        </w:rPr>
        <w:t>obrovolná - n</w:t>
      </w:r>
      <w:r w:rsidR="0022738A" w:rsidRPr="00AF0114">
        <w:rPr>
          <w:rFonts w:ascii="Trebuchet MS" w:hAnsi="Trebuchet MS"/>
        </w:rPr>
        <w:t>ezaměstnaný hledá práci, ovšem požaduje vyšší mzdu, než je mu trhem nabízena, proto nemůže práci najít</w:t>
      </w:r>
    </w:p>
    <w:p w:rsidR="0022738A" w:rsidRPr="00AF0114" w:rsidRDefault="009B3B61" w:rsidP="00AF0114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nedobrovolná - n</w:t>
      </w:r>
      <w:r w:rsidR="0022738A" w:rsidRPr="00AF0114">
        <w:rPr>
          <w:rFonts w:ascii="Trebuchet MS" w:hAnsi="Trebuchet MS"/>
        </w:rPr>
        <w:t xml:space="preserve">ezaměstnaný hledá práci, akceptuje takovou mzdu, kterou trh nabízí, přesto práci nemůže najít; </w:t>
      </w:r>
      <w:r w:rsidR="0022738A">
        <w:rPr>
          <w:rFonts w:ascii="Trebuchet MS" w:hAnsi="Trebuchet MS"/>
        </w:rPr>
        <w:t>p</w:t>
      </w:r>
      <w:r w:rsidR="0022738A" w:rsidRPr="00AF0114">
        <w:rPr>
          <w:rFonts w:ascii="Trebuchet MS" w:hAnsi="Trebuchet MS"/>
        </w:rPr>
        <w:t>říčinou jso</w:t>
      </w:r>
      <w:r w:rsidR="0022738A">
        <w:rPr>
          <w:rFonts w:ascii="Trebuchet MS" w:hAnsi="Trebuchet MS"/>
        </w:rPr>
        <w:t xml:space="preserve">u překážky bránící poklesu mezd - </w:t>
      </w:r>
      <w:r w:rsidR="0022738A" w:rsidRPr="00AF0114">
        <w:rPr>
          <w:rFonts w:ascii="Trebuchet MS" w:hAnsi="Trebuchet MS"/>
        </w:rPr>
        <w:t>odbory, které se zasazují o zvýšení mezd</w:t>
      </w:r>
      <w:r w:rsidR="0022738A">
        <w:rPr>
          <w:rFonts w:ascii="Trebuchet MS" w:hAnsi="Trebuchet MS"/>
        </w:rPr>
        <w:t>,</w:t>
      </w:r>
      <w:r w:rsidR="0022738A" w:rsidRPr="00AF0114">
        <w:rPr>
          <w:rFonts w:ascii="Trebuchet MS" w:hAnsi="Trebuchet MS"/>
        </w:rPr>
        <w:t xml:space="preserve"> </w:t>
      </w:r>
      <w:r w:rsidR="0022738A">
        <w:rPr>
          <w:rFonts w:ascii="Trebuchet MS" w:hAnsi="Trebuchet MS"/>
        </w:rPr>
        <w:t>u</w:t>
      </w:r>
      <w:r w:rsidR="0022738A" w:rsidRPr="00AF0114">
        <w:rPr>
          <w:rFonts w:ascii="Trebuchet MS" w:hAnsi="Trebuchet MS"/>
        </w:rPr>
        <w:t>zákoněná minimální mzda (hlavně čerství absolventi nebo dělníci ochotni pracovat i za míň, ale nesmí)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ED3BE6">
        <w:rPr>
          <w:rFonts w:ascii="Trebuchet MS" w:hAnsi="Trebuchet MS"/>
          <w:b/>
        </w:rPr>
        <w:t>Podpora v nezaměstnanosti poskytovaná uchazečům o zaměstnání</w:t>
      </w:r>
      <w:r>
        <w:rPr>
          <w:rFonts w:ascii="Trebuchet MS" w:hAnsi="Trebuchet MS"/>
        </w:rPr>
        <w:t xml:space="preserve"> slouží k finančnímu překlenutí nezbytné doby nezaměstnanosti.</w:t>
      </w:r>
    </w:p>
    <w:p w:rsidR="0022738A" w:rsidRPr="00355F08" w:rsidRDefault="0022738A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355F08">
        <w:rPr>
          <w:rFonts w:ascii="Trebuchet MS" w:hAnsi="Trebuchet MS"/>
          <w:b/>
        </w:rPr>
        <w:t>Podmínky pro výplatu podpory v nezaměstnanosti: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Přesné podmínky stanoví zákon </w:t>
      </w:r>
      <w:r w:rsidRPr="007B4003">
        <w:rPr>
          <w:rFonts w:ascii="Trebuchet MS" w:hAnsi="Trebuchet MS"/>
        </w:rPr>
        <w:t>č. 435/2004 Sb.</w:t>
      </w:r>
      <w:r>
        <w:rPr>
          <w:rFonts w:ascii="Trebuchet MS" w:hAnsi="Trebuchet MS"/>
        </w:rPr>
        <w:t>, o zaměstnanosti, ve znění pozdějších předpisů.</w:t>
      </w:r>
    </w:p>
    <w:p w:rsidR="0022738A" w:rsidRPr="00355F08" w:rsidRDefault="0022738A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t>Lidé do 50 let věku mohou dostávat podporu po dobu pěti měsíců, lidé od 50 do 55 let ji mohou pobírat osm měsíců a lidé nad 5</w:t>
      </w:r>
      <w:r>
        <w:rPr>
          <w:rFonts w:ascii="Trebuchet MS" w:hAnsi="Trebuchet MS"/>
        </w:rPr>
        <w:t>5 let až jedenáct měsíců. Jde o </w:t>
      </w:r>
      <w:r w:rsidRPr="00355F08">
        <w:rPr>
          <w:rFonts w:ascii="Trebuchet MS" w:hAnsi="Trebuchet MS"/>
        </w:rPr>
        <w:t>takzvanou podpůrčí dobu.</w:t>
      </w:r>
    </w:p>
    <w:p w:rsidR="0022738A" w:rsidRPr="00355F08" w:rsidRDefault="0022738A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t>První dva měsíce dostanou nezaměstnaní 65 procent průměrného čistého měsíčního výdělku z předchozího zaměstnání. Za měsíc mohou dostat maximálně 0,58</w:t>
      </w:r>
      <w:r>
        <w:rPr>
          <w:rFonts w:ascii="Trebuchet MS" w:hAnsi="Trebuchet MS"/>
        </w:rPr>
        <w:t xml:space="preserve"> </w:t>
      </w:r>
      <w:r w:rsidRPr="00355F08">
        <w:rPr>
          <w:rFonts w:ascii="Trebuchet MS" w:hAnsi="Trebuchet MS"/>
        </w:rPr>
        <w:t xml:space="preserve">násobek průměrné mzdy v České republice, tedy zhruba 14 157 </w:t>
      </w:r>
      <w:r>
        <w:rPr>
          <w:rFonts w:ascii="Trebuchet MS" w:hAnsi="Trebuchet MS"/>
        </w:rPr>
        <w:t>Kč</w:t>
      </w:r>
      <w:r w:rsidRPr="00355F08">
        <w:rPr>
          <w:rFonts w:ascii="Trebuchet MS" w:hAnsi="Trebuchet MS"/>
        </w:rPr>
        <w:t xml:space="preserve"> pro rok 2013.</w:t>
      </w:r>
    </w:p>
    <w:p w:rsidR="0022738A" w:rsidRPr="00355F08" w:rsidRDefault="0022738A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t>Další dva měsíce klesne podpora na 50 procent dřívějšího výdělku a zbytek podpůrčí doby pak uchazeč dostane jen 45 procent.</w:t>
      </w:r>
    </w:p>
    <w:p w:rsidR="0022738A" w:rsidRPr="00355F08" w:rsidRDefault="0022738A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lastRenderedPageBreak/>
        <w:t xml:space="preserve">Při rekvalifikaci se podpora zvyšuje na 60 </w:t>
      </w:r>
      <w:r>
        <w:rPr>
          <w:rFonts w:ascii="Trebuchet MS" w:hAnsi="Trebuchet MS"/>
        </w:rPr>
        <w:t>%</w:t>
      </w:r>
      <w:r w:rsidRPr="00355F08">
        <w:rPr>
          <w:rFonts w:ascii="Trebuchet MS" w:hAnsi="Trebuchet MS"/>
        </w:rPr>
        <w:t xml:space="preserve"> dřívějšího výdělku, pro rok 2013 je maximem zhruba 15 866 </w:t>
      </w:r>
      <w:r>
        <w:rPr>
          <w:rFonts w:ascii="Trebuchet MS" w:hAnsi="Trebuchet MS"/>
        </w:rPr>
        <w:t>Kč</w:t>
      </w:r>
      <w:r w:rsidRPr="00355F08">
        <w:rPr>
          <w:rFonts w:ascii="Trebuchet MS" w:hAnsi="Trebuchet MS"/>
        </w:rPr>
        <w:t xml:space="preserve"> měsíčně (0,65</w:t>
      </w:r>
      <w:r>
        <w:rPr>
          <w:rFonts w:ascii="Trebuchet MS" w:hAnsi="Trebuchet MS"/>
        </w:rPr>
        <w:t xml:space="preserve"> </w:t>
      </w:r>
      <w:r w:rsidRPr="00355F08">
        <w:rPr>
          <w:rFonts w:ascii="Trebuchet MS" w:hAnsi="Trebuchet MS"/>
        </w:rPr>
        <w:t>násobek průměrné mzdy v České republice).</w:t>
      </w:r>
    </w:p>
    <w:p w:rsidR="0022738A" w:rsidRDefault="0022738A" w:rsidP="00355F08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t>Po skončení podpůrčí doby (pět, osm nebo jedenáct měsíců) už nezaměstnaný získá jen sociální dávku ve výši životního minima, tedy necelých 3</w:t>
      </w:r>
      <w:r>
        <w:rPr>
          <w:rFonts w:ascii="Trebuchet MS" w:hAnsi="Trebuchet MS"/>
        </w:rPr>
        <w:t xml:space="preserve"> </w:t>
      </w:r>
      <w:r w:rsidRPr="00355F08">
        <w:rPr>
          <w:rFonts w:ascii="Trebuchet MS" w:hAnsi="Trebuchet MS"/>
        </w:rPr>
        <w:t xml:space="preserve">200 </w:t>
      </w:r>
      <w:r>
        <w:rPr>
          <w:rFonts w:ascii="Trebuchet MS" w:hAnsi="Trebuchet MS"/>
        </w:rPr>
        <w:t>Kč</w:t>
      </w:r>
      <w:r w:rsidRPr="00355F08">
        <w:rPr>
          <w:rFonts w:ascii="Trebuchet MS" w:hAnsi="Trebuchet MS"/>
        </w:rPr>
        <w:t>. Nevykazuje-li požadovanou aktivitu, dostane jen existenční minimum, tedy 2</w:t>
      </w:r>
      <w:r>
        <w:rPr>
          <w:rFonts w:ascii="Trebuchet MS" w:hAnsi="Trebuchet MS"/>
        </w:rPr>
        <w:t xml:space="preserve"> </w:t>
      </w:r>
      <w:r w:rsidRPr="00355F08">
        <w:rPr>
          <w:rFonts w:ascii="Trebuchet MS" w:hAnsi="Trebuchet MS"/>
        </w:rPr>
        <w:t xml:space="preserve">200 </w:t>
      </w:r>
      <w:r>
        <w:rPr>
          <w:rFonts w:ascii="Trebuchet MS" w:hAnsi="Trebuchet MS"/>
        </w:rPr>
        <w:t>Kč</w:t>
      </w:r>
      <w:r w:rsidRPr="00355F08">
        <w:rPr>
          <w:rFonts w:ascii="Trebuchet MS" w:hAnsi="Trebuchet MS"/>
        </w:rPr>
        <w:t>.</w:t>
      </w:r>
    </w:p>
    <w:p w:rsidR="0022738A" w:rsidRPr="00355F08" w:rsidRDefault="0022738A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355F08">
        <w:rPr>
          <w:rFonts w:ascii="Trebuchet MS" w:hAnsi="Trebuchet MS"/>
          <w:b/>
        </w:rPr>
        <w:t>Nárok na podporu v nezaměstnanosti 2013:</w:t>
      </w:r>
    </w:p>
    <w:p w:rsidR="0022738A" w:rsidRDefault="0022738A" w:rsidP="00B52D0C">
      <w:pPr>
        <w:spacing w:before="240" w:after="120" w:line="276" w:lineRule="auto"/>
        <w:jc w:val="both"/>
        <w:rPr>
          <w:rFonts w:ascii="Trebuchet MS" w:hAnsi="Trebuchet MS"/>
        </w:rPr>
      </w:pPr>
      <w:r w:rsidRPr="00355F08">
        <w:rPr>
          <w:rFonts w:ascii="Trebuchet MS" w:hAnsi="Trebuchet MS"/>
        </w:rPr>
        <w:t>Nárok má občan s bydlištěm na území ČR, který v posledních dvou letech před zařazením do evidence uchazečů o zaměstnání získal alespoň 12 měsíců důchodového pojištění. Potřebnou dobu pojištění je možné získat i prostřednictvím takzvaných náhradních dob, což je třeba doba pobírání invalidního důchodu</w:t>
      </w:r>
      <w:r>
        <w:rPr>
          <w:rFonts w:ascii="Trebuchet MS" w:hAnsi="Trebuchet MS"/>
        </w:rPr>
        <w:t xml:space="preserve"> pro </w:t>
      </w:r>
      <w:r w:rsidRPr="00355F08">
        <w:rPr>
          <w:rFonts w:ascii="Trebuchet MS" w:hAnsi="Trebuchet MS"/>
        </w:rPr>
        <w:t xml:space="preserve">invaliditu třetího stupně, péče o dítě do čtyř let, doba výkonu veřejné služby </w:t>
      </w:r>
      <w:r>
        <w:rPr>
          <w:rFonts w:ascii="Trebuchet MS" w:hAnsi="Trebuchet MS"/>
        </w:rPr>
        <w:t>nebo</w:t>
      </w:r>
      <w:r w:rsidRPr="00355F08">
        <w:rPr>
          <w:rFonts w:ascii="Trebuchet MS" w:hAnsi="Trebuchet MS"/>
        </w:rPr>
        <w:t xml:space="preserve"> dlouhodobé dobrovolnické služby.</w:t>
      </w:r>
    </w:p>
    <w:p w:rsidR="00743285" w:rsidRDefault="00743285" w:rsidP="00B52D0C">
      <w:pPr>
        <w:spacing w:before="240" w:after="120" w:line="276" w:lineRule="auto"/>
        <w:jc w:val="both"/>
        <w:rPr>
          <w:rFonts w:ascii="Trebuchet MS" w:hAnsi="Trebuchet MS"/>
        </w:rPr>
      </w:pPr>
    </w:p>
    <w:p w:rsidR="0022738A" w:rsidRPr="00613996" w:rsidRDefault="0022738A" w:rsidP="00613996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Pr="00613996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22738A" w:rsidRDefault="0022738A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Vyhledejte správné informace pomocí internetu a doplň</w:t>
      </w:r>
      <w:r w:rsidR="005E3B46">
        <w:rPr>
          <w:rFonts w:ascii="Trebuchet MS" w:hAnsi="Trebuchet MS"/>
        </w:rPr>
        <w:t>te</w:t>
      </w:r>
      <w:r>
        <w:rPr>
          <w:rFonts w:ascii="Trebuchet MS" w:hAnsi="Trebuchet MS"/>
        </w:rPr>
        <w:t xml:space="preserve"> text:</w:t>
      </w:r>
    </w:p>
    <w:p w:rsidR="0022738A" w:rsidRPr="00D26042" w:rsidRDefault="0022738A" w:rsidP="00D26042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D26042">
        <w:rPr>
          <w:rFonts w:ascii="Trebuchet MS" w:hAnsi="Trebuchet MS"/>
        </w:rPr>
        <w:t>Pokud úřad práce zprostředkuje člověku vhodné zaměstnání, ale on jej ukončí bez vážného důvodu sám nebo dohodou se zaměstnavatelem, bude moci bý</w:t>
      </w:r>
      <w:r>
        <w:rPr>
          <w:rFonts w:ascii="Trebuchet MS" w:hAnsi="Trebuchet MS"/>
        </w:rPr>
        <w:t>t evidován na úřadu práce až po </w:t>
      </w:r>
      <w:r w:rsidRPr="00D26042">
        <w:rPr>
          <w:rFonts w:ascii="Trebuchet MS" w:hAnsi="Trebuchet MS"/>
        </w:rPr>
        <w:t xml:space="preserve">uplynutí </w:t>
      </w:r>
      <w:r>
        <w:rPr>
          <w:rFonts w:ascii="Trebuchet MS" w:hAnsi="Trebuchet MS"/>
        </w:rPr>
        <w:t>..............................</w:t>
      </w:r>
      <w:r w:rsidRPr="00D26042">
        <w:rPr>
          <w:rFonts w:ascii="Trebuchet MS" w:hAnsi="Trebuchet MS"/>
        </w:rPr>
        <w:t xml:space="preserve"> ode dne vzniku tohoto zaměstnání.</w:t>
      </w:r>
    </w:p>
    <w:p w:rsidR="0022738A" w:rsidRDefault="0022738A" w:rsidP="00D26042">
      <w:pPr>
        <w:numPr>
          <w:ilvl w:val="1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Pr="00D26042">
        <w:rPr>
          <w:rFonts w:ascii="Trebuchet MS" w:hAnsi="Trebuchet MS"/>
        </w:rPr>
        <w:t>aměstnanec, jemuž úřad práce zprostředkuje vhodné zaměstnání, ale zaměstnavatel s ním ukončí pracovní poměr z důvodu hrubého porušení pracovních povinností</w:t>
      </w:r>
      <w:r>
        <w:rPr>
          <w:rFonts w:ascii="Trebuchet MS" w:hAnsi="Trebuchet MS"/>
        </w:rPr>
        <w:t>, může být e</w:t>
      </w:r>
      <w:r w:rsidRPr="00D26042">
        <w:rPr>
          <w:rFonts w:ascii="Trebuchet MS" w:hAnsi="Trebuchet MS"/>
        </w:rPr>
        <w:t xml:space="preserve">vidován na úřadu práce až po uplynutí </w:t>
      </w:r>
      <w:r>
        <w:rPr>
          <w:rFonts w:ascii="Trebuchet MS" w:hAnsi="Trebuchet MS"/>
        </w:rPr>
        <w:t>............................</w:t>
      </w:r>
      <w:r w:rsidRPr="00D26042">
        <w:rPr>
          <w:rFonts w:ascii="Trebuchet MS" w:hAnsi="Trebuchet MS"/>
        </w:rPr>
        <w:t xml:space="preserve"> ode dne vzniku tohoto zaměstnání.</w:t>
      </w:r>
    </w:p>
    <w:p w:rsidR="0022738A" w:rsidRDefault="009B3B61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Pomocí</w:t>
      </w:r>
      <w:r w:rsidR="0022738A">
        <w:rPr>
          <w:rFonts w:ascii="Trebuchet MS" w:hAnsi="Trebuchet MS"/>
        </w:rPr>
        <w:t xml:space="preserve"> internetu vyhledejte, jakou roli hraje odstupné při výpočtu podpory v nezaměstnanosti.</w:t>
      </w:r>
    </w:p>
    <w:p w:rsidR="0022738A" w:rsidRDefault="009B3B61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Pomocí</w:t>
      </w:r>
      <w:r w:rsidR="0022738A">
        <w:rPr>
          <w:rFonts w:ascii="Trebuchet MS" w:hAnsi="Trebuchet MS"/>
        </w:rPr>
        <w:t xml:space="preserve"> internetu vyhledejte, jakou roli hraje při výpočtu podpory v nezaměstnanosti způsob výpovědi (ze strany zaměstnavatele - ze strany zaměstnance).</w:t>
      </w:r>
    </w:p>
    <w:p w:rsidR="0022738A" w:rsidRPr="00DB08CF" w:rsidRDefault="0022738A" w:rsidP="00F5513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Nalezněte na internetu kalkulačku a spočítejte, jaká bude podpora v nezaměstnanosti pro ženu ve věku 51 let, která obdržela výpověď od zaměstnavatele, u kterého byla v pracovněprávním vztahu 7 let, její průměrná čistá mzda v posledních dvou letech zaměstnání byla 21 300 Kč.</w:t>
      </w:r>
    </w:p>
    <w:p w:rsidR="0022738A" w:rsidRDefault="0022738A"/>
    <w:sectPr w:rsidR="0022738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30" w:rsidRDefault="00801C30" w:rsidP="003A7C4B">
      <w:r>
        <w:separator/>
      </w:r>
    </w:p>
  </w:endnote>
  <w:endnote w:type="continuationSeparator" w:id="0">
    <w:p w:rsidR="00801C30" w:rsidRDefault="00801C30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8A" w:rsidRDefault="0022738A" w:rsidP="00B320CE">
    <w:pPr>
      <w:pStyle w:val="Zpat"/>
    </w:pPr>
    <w:r>
      <w:rPr>
        <w:rFonts w:ascii="Trebuchet MS" w:hAnsi="Trebuchet MS"/>
      </w:rPr>
      <w:t>VY_32_INOVACE_18_1_12</w:t>
    </w:r>
    <w:r w:rsidRPr="00966D23">
      <w:rPr>
        <w:rFonts w:ascii="Trebuchet MS" w:hAnsi="Trebuchet MS"/>
      </w:rPr>
      <w:t xml:space="preserve">                         </w:t>
    </w:r>
    <w:r w:rsidR="00824398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824398" w:rsidRPr="00966D23">
      <w:rPr>
        <w:rFonts w:ascii="Trebuchet MS" w:hAnsi="Trebuchet MS"/>
      </w:rPr>
      <w:fldChar w:fldCharType="separate"/>
    </w:r>
    <w:r w:rsidR="00DA4754">
      <w:rPr>
        <w:rFonts w:ascii="Trebuchet MS" w:hAnsi="Trebuchet MS"/>
        <w:noProof/>
      </w:rPr>
      <w:t>2</w:t>
    </w:r>
    <w:r w:rsidR="00824398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22738A" w:rsidRDefault="002273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30" w:rsidRDefault="00801C30" w:rsidP="003A7C4B">
      <w:r>
        <w:separator/>
      </w:r>
    </w:p>
  </w:footnote>
  <w:footnote w:type="continuationSeparator" w:id="0">
    <w:p w:rsidR="00801C30" w:rsidRDefault="00801C30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8A" w:rsidRDefault="00107A6F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53F1EF2"/>
    <w:multiLevelType w:val="hybridMultilevel"/>
    <w:tmpl w:val="45681F2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09D0"/>
    <w:rsid w:val="000210F6"/>
    <w:rsid w:val="000436CD"/>
    <w:rsid w:val="0007750F"/>
    <w:rsid w:val="000A0D93"/>
    <w:rsid w:val="000E7DAA"/>
    <w:rsid w:val="0010114F"/>
    <w:rsid w:val="00107A6F"/>
    <w:rsid w:val="001357EB"/>
    <w:rsid w:val="00190BCD"/>
    <w:rsid w:val="001A72BC"/>
    <w:rsid w:val="001D1525"/>
    <w:rsid w:val="001D3546"/>
    <w:rsid w:val="00207436"/>
    <w:rsid w:val="002240A9"/>
    <w:rsid w:val="0022738A"/>
    <w:rsid w:val="00244CB1"/>
    <w:rsid w:val="00284B1F"/>
    <w:rsid w:val="002A72BD"/>
    <w:rsid w:val="002B7F36"/>
    <w:rsid w:val="002C50A8"/>
    <w:rsid w:val="002E2632"/>
    <w:rsid w:val="002F4E83"/>
    <w:rsid w:val="003342E2"/>
    <w:rsid w:val="003505A8"/>
    <w:rsid w:val="00355F08"/>
    <w:rsid w:val="003A7C4B"/>
    <w:rsid w:val="003F2961"/>
    <w:rsid w:val="004064D5"/>
    <w:rsid w:val="00424F8E"/>
    <w:rsid w:val="00472560"/>
    <w:rsid w:val="0049726A"/>
    <w:rsid w:val="00503132"/>
    <w:rsid w:val="00515876"/>
    <w:rsid w:val="005E3B46"/>
    <w:rsid w:val="005F71D4"/>
    <w:rsid w:val="00613996"/>
    <w:rsid w:val="006139E6"/>
    <w:rsid w:val="00625E7A"/>
    <w:rsid w:val="0066334A"/>
    <w:rsid w:val="006F5AB5"/>
    <w:rsid w:val="007024B8"/>
    <w:rsid w:val="00725210"/>
    <w:rsid w:val="00742D9A"/>
    <w:rsid w:val="00743285"/>
    <w:rsid w:val="007B4003"/>
    <w:rsid w:val="007B7153"/>
    <w:rsid w:val="007C0498"/>
    <w:rsid w:val="007E4EDD"/>
    <w:rsid w:val="00801C30"/>
    <w:rsid w:val="00824398"/>
    <w:rsid w:val="008A02C9"/>
    <w:rsid w:val="008C64EE"/>
    <w:rsid w:val="008D1AB9"/>
    <w:rsid w:val="008D5327"/>
    <w:rsid w:val="008E45E1"/>
    <w:rsid w:val="00966D23"/>
    <w:rsid w:val="00992CEC"/>
    <w:rsid w:val="009B3B61"/>
    <w:rsid w:val="009C3940"/>
    <w:rsid w:val="00A0539D"/>
    <w:rsid w:val="00A054C1"/>
    <w:rsid w:val="00A229D8"/>
    <w:rsid w:val="00A22E97"/>
    <w:rsid w:val="00A2373E"/>
    <w:rsid w:val="00A2423E"/>
    <w:rsid w:val="00A32836"/>
    <w:rsid w:val="00A5599E"/>
    <w:rsid w:val="00A96025"/>
    <w:rsid w:val="00AF0114"/>
    <w:rsid w:val="00B04EE3"/>
    <w:rsid w:val="00B23A66"/>
    <w:rsid w:val="00B320CE"/>
    <w:rsid w:val="00B52D0C"/>
    <w:rsid w:val="00B8027D"/>
    <w:rsid w:val="00B92A59"/>
    <w:rsid w:val="00C316E4"/>
    <w:rsid w:val="00C60F9F"/>
    <w:rsid w:val="00CD4E45"/>
    <w:rsid w:val="00CD5CCA"/>
    <w:rsid w:val="00D26042"/>
    <w:rsid w:val="00D26DE4"/>
    <w:rsid w:val="00D64EFA"/>
    <w:rsid w:val="00DA4754"/>
    <w:rsid w:val="00DB08CF"/>
    <w:rsid w:val="00DC23A1"/>
    <w:rsid w:val="00E43FAD"/>
    <w:rsid w:val="00E5202E"/>
    <w:rsid w:val="00E54712"/>
    <w:rsid w:val="00E778A2"/>
    <w:rsid w:val="00ED3BE6"/>
    <w:rsid w:val="00F5513C"/>
    <w:rsid w:val="00F87C95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313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9</cp:revision>
  <dcterms:created xsi:type="dcterms:W3CDTF">2013-05-13T13:09:00Z</dcterms:created>
  <dcterms:modified xsi:type="dcterms:W3CDTF">2013-05-23T18:12:00Z</dcterms:modified>
</cp:coreProperties>
</file>