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33" w:rsidRDefault="00B25133" w:rsidP="00B52D0C">
      <w:pPr>
        <w:jc w:val="center"/>
        <w:rPr>
          <w:rFonts w:ascii="Albertus MT" w:hAnsi="Albertus MT"/>
          <w:b/>
        </w:rPr>
      </w:pP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25133" w:rsidRPr="00B23A66" w:rsidRDefault="00B25133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A1B2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491B63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13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 organizace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8D3D11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25133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B25133" w:rsidRDefault="00B251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25133" w:rsidRPr="002E2632" w:rsidRDefault="00B25133" w:rsidP="00E875F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39412E">
              <w:rPr>
                <w:rFonts w:ascii="Trebuchet MS" w:hAnsi="Trebuchet MS"/>
              </w:rPr>
              <w:t>.</w:t>
            </w:r>
          </w:p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25133" w:rsidRPr="002E2632" w:rsidRDefault="00B25133" w:rsidP="00E875F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39412E">
              <w:rPr>
                <w:rFonts w:ascii="Trebuchet MS" w:hAnsi="Trebuchet MS"/>
              </w:rPr>
              <w:t>.</w:t>
            </w:r>
          </w:p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25133" w:rsidRPr="002E2632" w:rsidRDefault="00B25133" w:rsidP="00E875F2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39412E">
              <w:rPr>
                <w:rFonts w:ascii="Trebuchet MS" w:hAnsi="Trebuchet MS"/>
              </w:rPr>
              <w:t>.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E875F2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B25133" w:rsidRDefault="00B25133" w:rsidP="00E875F2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 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B25133" w:rsidRPr="002E2632" w:rsidRDefault="00B25133" w:rsidP="00E875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Kocianová, R.: Personální činnosti </w:t>
            </w:r>
            <w:r w:rsidR="00E875F2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a metody personální práce. </w:t>
            </w:r>
            <w:r w:rsidR="00E875F2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GRADA, s. r. o. Praha, 2010. </w:t>
            </w:r>
            <w:r w:rsidR="00E875F2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ISBN </w:t>
            </w:r>
            <w:r w:rsidRPr="00F95283">
              <w:rPr>
                <w:rFonts w:ascii="Trebuchet MS" w:hAnsi="Trebuchet MS"/>
              </w:rPr>
              <w:t>978-80-247-2497-3</w:t>
            </w:r>
            <w:r>
              <w:rPr>
                <w:rFonts w:ascii="Trebuchet MS" w:hAnsi="Trebuchet MS"/>
              </w:rPr>
              <w:t>.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B25133" w:rsidRPr="002E2632" w:rsidRDefault="00E875F2" w:rsidP="00E875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25133" w:rsidRPr="002E2632">
              <w:rPr>
                <w:rFonts w:ascii="Trebuchet MS" w:hAnsi="Trebuchet MS"/>
              </w:rPr>
              <w:t>, internet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E875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 - klasifikace, plánování, personální práce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B25133" w:rsidRPr="002E2632" w:rsidRDefault="00B25133" w:rsidP="00491B63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B25133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25133" w:rsidRPr="002E2632" w:rsidRDefault="00B25133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B25133" w:rsidRPr="002E2632" w:rsidRDefault="00E875F2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B25133" w:rsidRPr="002E2632">
              <w:rPr>
                <w:rFonts w:ascii="Trebuchet MS" w:hAnsi="Trebuchet MS"/>
              </w:rPr>
              <w:t>201</w:t>
            </w:r>
            <w:r w:rsidR="00B25133">
              <w:rPr>
                <w:rFonts w:ascii="Trebuchet MS" w:hAnsi="Trebuchet MS"/>
              </w:rPr>
              <w:t>3</w:t>
            </w:r>
          </w:p>
        </w:tc>
      </w:tr>
    </w:tbl>
    <w:p w:rsidR="00B25133" w:rsidRDefault="00B25133" w:rsidP="00B52D0C">
      <w:pPr>
        <w:rPr>
          <w:rFonts w:ascii="Trebuchet MS" w:hAnsi="Trebuchet MS"/>
          <w:i/>
          <w:sz w:val="20"/>
          <w:szCs w:val="20"/>
        </w:rPr>
      </w:pPr>
    </w:p>
    <w:p w:rsidR="00B25133" w:rsidRPr="002D70FE" w:rsidRDefault="00B25133" w:rsidP="00E875F2">
      <w:pPr>
        <w:jc w:val="both"/>
        <w:rPr>
          <w:rFonts w:ascii="Trebuchet MS" w:hAnsi="Trebuchet MS"/>
          <w:i/>
        </w:rPr>
      </w:pPr>
      <w:r w:rsidRPr="002D70FE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E875F2" w:rsidRPr="002D70FE">
        <w:rPr>
          <w:rFonts w:ascii="Trebuchet MS" w:hAnsi="Trebuchet MS"/>
          <w:i/>
        </w:rPr>
        <w:t xml:space="preserve"> </w:t>
      </w:r>
      <w:r w:rsidRPr="002D70FE">
        <w:rPr>
          <w:rFonts w:ascii="Trebuchet MS" w:hAnsi="Trebuchet MS"/>
          <w:i/>
        </w:rPr>
        <w:t xml:space="preserve">Pokud není uvedeno jinak, autorem textů </w:t>
      </w:r>
      <w:r w:rsidR="002D70FE">
        <w:rPr>
          <w:rFonts w:ascii="Trebuchet MS" w:hAnsi="Trebuchet MS"/>
          <w:i/>
        </w:rPr>
        <w:br/>
      </w:r>
      <w:r w:rsidRPr="002D70FE">
        <w:rPr>
          <w:rFonts w:ascii="Trebuchet MS" w:hAnsi="Trebuchet MS"/>
          <w:i/>
        </w:rPr>
        <w:t xml:space="preserve">a obrázků je Ing. Bohuslava </w:t>
      </w:r>
      <w:proofErr w:type="spellStart"/>
      <w:r w:rsidRPr="002D70FE">
        <w:rPr>
          <w:rFonts w:ascii="Trebuchet MS" w:hAnsi="Trebuchet MS"/>
          <w:i/>
        </w:rPr>
        <w:t>Čežíková</w:t>
      </w:r>
      <w:proofErr w:type="spellEnd"/>
      <w:r w:rsidRPr="002D70FE">
        <w:rPr>
          <w:rFonts w:ascii="Trebuchet MS" w:hAnsi="Trebuchet MS"/>
          <w:i/>
        </w:rPr>
        <w:t>.</w:t>
      </w:r>
    </w:p>
    <w:p w:rsidR="00B25133" w:rsidRPr="002D70FE" w:rsidRDefault="00B25133" w:rsidP="00B52D0C">
      <w:pPr>
        <w:rPr>
          <w:rFonts w:ascii="Trebuchet MS" w:hAnsi="Trebuchet MS"/>
          <w:i/>
        </w:rPr>
      </w:pPr>
    </w:p>
    <w:p w:rsidR="00B25133" w:rsidRPr="0049726A" w:rsidRDefault="00B25133" w:rsidP="00E875F2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E875F2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B25133" w:rsidRDefault="00B25133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</w:t>
      </w:r>
      <w:r w:rsidRPr="009836BB">
        <w:rPr>
          <w:rFonts w:ascii="Trebuchet MS" w:hAnsi="Trebuchet MS"/>
          <w:b/>
        </w:rPr>
        <w:t>ersonální práce</w:t>
      </w:r>
      <w:r>
        <w:rPr>
          <w:rFonts w:ascii="Trebuchet MS" w:hAnsi="Trebuchet MS"/>
        </w:rPr>
        <w:t xml:space="preserve"> - systém práce s lidmi, který zahrnuje všechny souvislosti pracovní činnosti lidí;</w:t>
      </w:r>
    </w:p>
    <w:p w:rsidR="00B25133" w:rsidRPr="008B25C9" w:rsidRDefault="00B25133" w:rsidP="008B25C9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 w:rsidRPr="008B25C9">
        <w:rPr>
          <w:rFonts w:ascii="Trebuchet MS" w:hAnsi="Trebuchet MS"/>
        </w:rPr>
        <w:t>odpovědnost za personální řízení nesou vrcholoví manažeři (stanoví personální strategii a její zásady), linioví vedoucí (odpovídají za personální práci v každodenním kontaktu s podřízenými) a personalisté (poskytují personální služby vedení podniku, vedoucím pracovníkům a jednotlivým pracovníkům).</w:t>
      </w:r>
    </w:p>
    <w:p w:rsidR="00E875F2" w:rsidRDefault="00E875F2" w:rsidP="00E43C07">
      <w:pPr>
        <w:spacing w:before="240" w:after="120" w:line="276" w:lineRule="auto"/>
        <w:jc w:val="both"/>
        <w:rPr>
          <w:rFonts w:ascii="Trebuchet MS" w:hAnsi="Trebuchet MS"/>
        </w:rPr>
      </w:pPr>
    </w:p>
    <w:p w:rsidR="00B25133" w:rsidRPr="00E43C07" w:rsidRDefault="00B25133" w:rsidP="00E43C0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Personální činnost</w:t>
      </w:r>
      <w:r w:rsidRPr="00E43C07">
        <w:rPr>
          <w:rFonts w:ascii="Trebuchet MS" w:hAnsi="Trebuchet MS"/>
        </w:rPr>
        <w:t>i:</w:t>
      </w:r>
    </w:p>
    <w:p w:rsidR="00B25133" w:rsidRPr="00DA3080" w:rsidRDefault="008D3D11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plánování počtu zaměstnanců</w:t>
      </w:r>
    </w:p>
    <w:p w:rsidR="00B25133" w:rsidRPr="00DA3080" w:rsidRDefault="008D3D11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získávání zaměstnanců</w:t>
      </w:r>
    </w:p>
    <w:p w:rsidR="00B25133" w:rsidRPr="00DA3080" w:rsidRDefault="00B25133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DA3080">
        <w:rPr>
          <w:rFonts w:ascii="Trebuchet MS" w:hAnsi="Trebuchet MS"/>
        </w:rPr>
        <w:t>hod</w:t>
      </w:r>
      <w:r w:rsidR="008D3D11">
        <w:rPr>
          <w:rFonts w:ascii="Trebuchet MS" w:hAnsi="Trebuchet MS"/>
        </w:rPr>
        <w:t>nocení a odměňování zaměstnanců</w:t>
      </w:r>
    </w:p>
    <w:p w:rsidR="00B25133" w:rsidRPr="00DA3080" w:rsidRDefault="00B25133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DA3080">
        <w:rPr>
          <w:rFonts w:ascii="Trebuchet MS" w:hAnsi="Trebuchet MS"/>
        </w:rPr>
        <w:t>motivac</w:t>
      </w:r>
      <w:r w:rsidR="00E875F2">
        <w:rPr>
          <w:rFonts w:ascii="Trebuchet MS" w:hAnsi="Trebuchet MS"/>
        </w:rPr>
        <w:t>e</w:t>
      </w:r>
      <w:r w:rsidRPr="00DA3080">
        <w:rPr>
          <w:rFonts w:ascii="Trebuchet MS" w:hAnsi="Trebuchet MS"/>
        </w:rPr>
        <w:t xml:space="preserve"> zaměstnanců</w:t>
      </w:r>
    </w:p>
    <w:p w:rsidR="00B25133" w:rsidRPr="00DA3080" w:rsidRDefault="00B25133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DA3080">
        <w:rPr>
          <w:rFonts w:ascii="Trebuchet MS" w:hAnsi="Trebuchet MS"/>
        </w:rPr>
        <w:t>péč</w:t>
      </w:r>
      <w:r w:rsidR="00E875F2">
        <w:rPr>
          <w:rFonts w:ascii="Trebuchet MS" w:hAnsi="Trebuchet MS"/>
        </w:rPr>
        <w:t>e</w:t>
      </w:r>
      <w:r w:rsidRPr="00DA3080">
        <w:rPr>
          <w:rFonts w:ascii="Trebuchet MS" w:hAnsi="Trebuchet MS"/>
        </w:rPr>
        <w:t xml:space="preserve"> o zaměstn</w:t>
      </w:r>
      <w:r w:rsidR="008D3D11">
        <w:rPr>
          <w:rFonts w:ascii="Trebuchet MS" w:hAnsi="Trebuchet MS"/>
        </w:rPr>
        <w:t>ance a jejich kvalifikační růst</w:t>
      </w:r>
    </w:p>
    <w:p w:rsidR="00B25133" w:rsidRPr="00DA3080" w:rsidRDefault="008D3D11" w:rsidP="00DA308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evidenc</w:t>
      </w:r>
      <w:r w:rsidR="00E875F2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zaměstnanců</w:t>
      </w:r>
    </w:p>
    <w:p w:rsidR="00B25133" w:rsidRDefault="00B25133" w:rsidP="00E43C07">
      <w:pPr>
        <w:spacing w:before="240" w:after="120" w:line="276" w:lineRule="auto"/>
        <w:contextualSpacing/>
        <w:jc w:val="both"/>
        <w:rPr>
          <w:rFonts w:ascii="Trebuchet MS" w:hAnsi="Trebuchet MS"/>
        </w:rPr>
      </w:pPr>
    </w:p>
    <w:p w:rsidR="00B25133" w:rsidRDefault="00B25133" w:rsidP="00E43C07">
      <w:pPr>
        <w:spacing w:before="24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Pr="00E43C07">
        <w:rPr>
          <w:rFonts w:ascii="Trebuchet MS" w:hAnsi="Trebuchet MS"/>
        </w:rPr>
        <w:t>ategorie zaměstnanců můžeme rozdělit</w:t>
      </w:r>
      <w:r w:rsidR="008D3D11">
        <w:rPr>
          <w:rFonts w:ascii="Trebuchet MS" w:hAnsi="Trebuchet MS"/>
        </w:rPr>
        <w:t xml:space="preserve"> </w:t>
      </w:r>
      <w:proofErr w:type="gramStart"/>
      <w:r w:rsidR="008D3D11">
        <w:rPr>
          <w:rFonts w:ascii="Trebuchet MS" w:hAnsi="Trebuchet MS"/>
        </w:rPr>
        <w:t>na</w:t>
      </w:r>
      <w:proofErr w:type="gramEnd"/>
      <w:r w:rsidR="008D3D11">
        <w:rPr>
          <w:rFonts w:ascii="Trebuchet MS" w:hAnsi="Trebuchet MS"/>
        </w:rPr>
        <w:t>:</w:t>
      </w:r>
    </w:p>
    <w:p w:rsidR="00B25133" w:rsidRPr="00E43C07" w:rsidRDefault="008D3D11" w:rsidP="00DA3080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dělníky</w:t>
      </w:r>
    </w:p>
    <w:p w:rsidR="00B25133" w:rsidRPr="00E43C07" w:rsidRDefault="00B25133" w:rsidP="00DA3080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 w:rsidRPr="00E43C07">
        <w:rPr>
          <w:rFonts w:ascii="Trebuchet MS" w:hAnsi="Trebuchet MS"/>
        </w:rPr>
        <w:t>p</w:t>
      </w:r>
      <w:r w:rsidR="008D3D11">
        <w:rPr>
          <w:rFonts w:ascii="Trebuchet MS" w:hAnsi="Trebuchet MS"/>
        </w:rPr>
        <w:t>rovozně-obsluhující zaměstnance</w:t>
      </w:r>
    </w:p>
    <w:p w:rsidR="00B25133" w:rsidRDefault="00B25133" w:rsidP="00DA3080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8D3D11">
        <w:rPr>
          <w:rFonts w:ascii="Trebuchet MS" w:hAnsi="Trebuchet MS"/>
        </w:rPr>
        <w:t>echnickohospodářské zaměstnance</w:t>
      </w:r>
    </w:p>
    <w:p w:rsidR="00B25133" w:rsidRDefault="00B25133" w:rsidP="00E43C07">
      <w:pPr>
        <w:spacing w:before="240" w:after="120" w:line="276" w:lineRule="auto"/>
        <w:jc w:val="both"/>
        <w:rPr>
          <w:rFonts w:ascii="Trebuchet MS" w:hAnsi="Trebuchet MS"/>
        </w:rPr>
      </w:pPr>
      <w:r w:rsidRPr="006B2241">
        <w:rPr>
          <w:rFonts w:ascii="Trebuchet MS" w:hAnsi="Trebuchet MS"/>
          <w:b/>
        </w:rPr>
        <w:t>Statistická klasifikace zaměstnání</w:t>
      </w:r>
      <w:r>
        <w:rPr>
          <w:rFonts w:ascii="Trebuchet MS" w:hAnsi="Trebuchet MS"/>
        </w:rPr>
        <w:t xml:space="preserve"> - abecední seznam zaměstnání (</w:t>
      </w:r>
      <w:r w:rsidRPr="006B2241">
        <w:rPr>
          <w:rFonts w:ascii="Trebuchet MS" w:hAnsi="Trebuchet MS"/>
        </w:rPr>
        <w:t>http://www.czso.cz/csu/klasifik.nsf/i/klasifikace_zamestnani_%28kzam_r%29</w:t>
      </w:r>
      <w:r>
        <w:rPr>
          <w:rFonts w:ascii="Trebuchet MS" w:hAnsi="Trebuchet MS"/>
        </w:rPr>
        <w:t>)</w:t>
      </w:r>
      <w:r w:rsidR="00E875F2">
        <w:rPr>
          <w:rFonts w:ascii="Trebuchet MS" w:hAnsi="Trebuchet MS"/>
        </w:rPr>
        <w:t>.</w:t>
      </w:r>
    </w:p>
    <w:p w:rsidR="00B25133" w:rsidRDefault="00B25133" w:rsidP="00E43C07">
      <w:pPr>
        <w:spacing w:before="240" w:after="120" w:line="276" w:lineRule="auto"/>
        <w:jc w:val="both"/>
        <w:rPr>
          <w:rFonts w:ascii="Trebuchet MS" w:hAnsi="Trebuchet MS"/>
        </w:rPr>
      </w:pPr>
      <w:r w:rsidRPr="006B2241">
        <w:rPr>
          <w:rFonts w:ascii="Trebuchet MS" w:hAnsi="Trebuchet MS"/>
          <w:b/>
        </w:rPr>
        <w:t>Integrovaný systém typových pozic</w:t>
      </w:r>
      <w:r>
        <w:rPr>
          <w:rFonts w:ascii="Trebuchet MS" w:hAnsi="Trebuchet MS"/>
        </w:rPr>
        <w:t xml:space="preserve"> - průvodce </w:t>
      </w:r>
      <w:r w:rsidRPr="008A6AE9">
        <w:rPr>
          <w:rFonts w:ascii="Trebuchet MS" w:hAnsi="Trebuchet MS"/>
        </w:rPr>
        <w:t>sestav</w:t>
      </w:r>
      <w:r>
        <w:rPr>
          <w:rFonts w:ascii="Trebuchet MS" w:hAnsi="Trebuchet MS"/>
        </w:rPr>
        <w:t>ení</w:t>
      </w:r>
      <w:r w:rsidRPr="008A6AE9">
        <w:rPr>
          <w:rFonts w:ascii="Trebuchet MS" w:hAnsi="Trebuchet MS"/>
        </w:rPr>
        <w:t xml:space="preserve"> pracovní</w:t>
      </w:r>
      <w:r>
        <w:rPr>
          <w:rFonts w:ascii="Trebuchet MS" w:hAnsi="Trebuchet MS"/>
        </w:rPr>
        <w:t>ho</w:t>
      </w:r>
      <w:r w:rsidRPr="008A6AE9">
        <w:rPr>
          <w:rFonts w:ascii="Trebuchet MS" w:hAnsi="Trebuchet MS"/>
        </w:rPr>
        <w:t xml:space="preserve"> profil</w:t>
      </w:r>
      <w:r>
        <w:rPr>
          <w:rFonts w:ascii="Trebuchet MS" w:hAnsi="Trebuchet MS"/>
        </w:rPr>
        <w:t>u, katalog Národní soustavy povolání, databáze vzdělávacích akcí a rekvalifikačních kurzů, katalog pracovních míst (</w:t>
      </w:r>
      <w:r w:rsidRPr="008A6AE9">
        <w:rPr>
          <w:rFonts w:ascii="Trebuchet MS" w:hAnsi="Trebuchet MS"/>
        </w:rPr>
        <w:t>http://www.</w:t>
      </w:r>
      <w:r>
        <w:rPr>
          <w:rFonts w:ascii="Trebuchet MS" w:hAnsi="Trebuchet MS"/>
        </w:rPr>
        <w:t>istp.cz)</w:t>
      </w:r>
      <w:r w:rsidR="00E875F2">
        <w:rPr>
          <w:rFonts w:ascii="Trebuchet MS" w:hAnsi="Trebuchet MS"/>
        </w:rPr>
        <w:t>.</w:t>
      </w:r>
    </w:p>
    <w:p w:rsidR="00B25133" w:rsidRDefault="00E875F2" w:rsidP="00E43C07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lastRenderedPageBreak/>
        <w:br/>
      </w:r>
      <w:r w:rsidR="00B25133" w:rsidRPr="00416AB8">
        <w:rPr>
          <w:rFonts w:ascii="Trebuchet MS" w:hAnsi="Trebuchet MS"/>
          <w:b/>
        </w:rPr>
        <w:t>Stanovení potřeby zaměstnanců</w:t>
      </w:r>
    </w:p>
    <w:p w:rsidR="00B25133" w:rsidRDefault="00B25133" w:rsidP="00416AB8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 w:rsidRPr="00416AB8">
        <w:rPr>
          <w:rFonts w:ascii="Trebuchet MS" w:hAnsi="Trebuchet MS"/>
        </w:rPr>
        <w:t>odhadem</w:t>
      </w:r>
      <w:r>
        <w:rPr>
          <w:rFonts w:ascii="Trebuchet MS" w:hAnsi="Trebuchet MS"/>
        </w:rPr>
        <w:t xml:space="preserve"> - operativně; pro duševní p</w:t>
      </w:r>
      <w:r w:rsidR="008D3D11">
        <w:rPr>
          <w:rFonts w:ascii="Trebuchet MS" w:hAnsi="Trebuchet MS"/>
        </w:rPr>
        <w:t>racovníky, THP a administrativu</w:t>
      </w:r>
      <w:r w:rsidR="00E875F2">
        <w:rPr>
          <w:rFonts w:ascii="Trebuchet MS" w:hAnsi="Trebuchet MS"/>
        </w:rPr>
        <w:t>;</w:t>
      </w:r>
    </w:p>
    <w:p w:rsidR="00E875F2" w:rsidRDefault="00E875F2" w:rsidP="00416AB8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 </w:t>
      </w:r>
      <w:r w:rsidR="00B25133">
        <w:rPr>
          <w:rFonts w:ascii="Trebuchet MS" w:hAnsi="Trebuchet MS"/>
        </w:rPr>
        <w:t>využitím norem práce - pro dělníky a některé prov</w:t>
      </w:r>
      <w:r>
        <w:rPr>
          <w:rFonts w:ascii="Trebuchet MS" w:hAnsi="Trebuchet MS"/>
        </w:rPr>
        <w:t xml:space="preserve">ozní a obsluhující pracovníky; </w:t>
      </w:r>
    </w:p>
    <w:p w:rsidR="00E875F2" w:rsidRDefault="00E875F2" w:rsidP="00E875F2">
      <w:pPr>
        <w:pStyle w:val="Odstavecseseznamem"/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B25133" w:rsidRDefault="00E875F2" w:rsidP="00E875F2">
      <w:pPr>
        <w:pStyle w:val="Odstavecseseznamem"/>
        <w:spacing w:before="240" w:after="120" w:line="276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B25133">
        <w:rPr>
          <w:rFonts w:ascii="Trebuchet MS" w:hAnsi="Trebuchet MS"/>
        </w:rPr>
        <w:t>ostup:</w:t>
      </w:r>
    </w:p>
    <w:p w:rsidR="00B25133" w:rsidRDefault="00B25133" w:rsidP="00425948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stanovíme celkový potřebný čas v určitém </w:t>
      </w:r>
      <w:r w:rsidR="008D3D11">
        <w:rPr>
          <w:rFonts w:ascii="Trebuchet MS" w:hAnsi="Trebuchet MS"/>
        </w:rPr>
        <w:t>období</w:t>
      </w:r>
    </w:p>
    <w:p w:rsidR="00B25133" w:rsidRDefault="008D3D11" w:rsidP="00425948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stanovíme fond pracovní doby:</w:t>
      </w:r>
    </w:p>
    <w:p w:rsidR="00B25133" w:rsidRDefault="00B25133" w:rsidP="00416AB8">
      <w:pPr>
        <w:pStyle w:val="Odstavecseseznamem"/>
        <w:numPr>
          <w:ilvl w:val="2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 počtu kalendá</w:t>
      </w:r>
      <w:r w:rsidR="008D3D11">
        <w:rPr>
          <w:rFonts w:ascii="Trebuchet MS" w:hAnsi="Trebuchet MS"/>
        </w:rPr>
        <w:t xml:space="preserve">řních dnů odečteme </w:t>
      </w:r>
      <w:proofErr w:type="spellStart"/>
      <w:r w:rsidR="008D3D11">
        <w:rPr>
          <w:rFonts w:ascii="Trebuchet MS" w:hAnsi="Trebuchet MS"/>
        </w:rPr>
        <w:t>so</w:t>
      </w:r>
      <w:proofErr w:type="spellEnd"/>
      <w:r w:rsidR="008D3D11">
        <w:rPr>
          <w:rFonts w:ascii="Trebuchet MS" w:hAnsi="Trebuchet MS"/>
        </w:rPr>
        <w:t xml:space="preserve"> + ne + </w:t>
      </w:r>
      <w:proofErr w:type="spellStart"/>
      <w:r w:rsidR="008D3D11">
        <w:rPr>
          <w:rFonts w:ascii="Trebuchet MS" w:hAnsi="Trebuchet MS"/>
        </w:rPr>
        <w:t>sv</w:t>
      </w:r>
      <w:proofErr w:type="spellEnd"/>
    </w:p>
    <w:p w:rsidR="00B25133" w:rsidRDefault="00B25133" w:rsidP="00416AB8">
      <w:pPr>
        <w:pStyle w:val="Odstavecseseznamem"/>
        <w:numPr>
          <w:ilvl w:val="2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 počtu pracovních dnů odečteme dovolenou + dny průměrné nemocnosti + </w:t>
      </w:r>
      <w:r w:rsidR="008D3D11">
        <w:rPr>
          <w:rFonts w:ascii="Trebuchet MS" w:hAnsi="Trebuchet MS"/>
        </w:rPr>
        <w:t>dny další nepřítomnosti v práci</w:t>
      </w:r>
    </w:p>
    <w:p w:rsidR="00B25133" w:rsidRDefault="008D3D11" w:rsidP="00425948">
      <w:pPr>
        <w:pStyle w:val="Odstavecseseznamem"/>
        <w:numPr>
          <w:ilvl w:val="2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násobíme počtem hodin pracovní doby</w:t>
      </w:r>
    </w:p>
    <w:p w:rsidR="00B25133" w:rsidRDefault="00B25133" w:rsidP="00425948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stanovíme počet zaměstnanců:</w:t>
      </w:r>
    </w:p>
    <w:p w:rsidR="00B25133" w:rsidRPr="001A1B22" w:rsidRDefault="00F65D2B" w:rsidP="00425948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po</m:t>
          </m:r>
          <m:r>
            <w:rPr>
              <w:rFonts w:ascii="Trebuchet MS" w:hAnsi="Trebuchet MS"/>
            </w:rPr>
            <m:t>č</m:t>
          </m:r>
          <m:r>
            <w:rPr>
              <w:rFonts w:ascii="Cambria Math" w:hAnsi="Cambria Math"/>
            </w:rPr>
            <m:t>et</m:t>
          </m:r>
          <m:r>
            <w:rPr>
              <w:rFonts w:ascii="Cambria Math" w:hAnsi="Trebuchet MS"/>
            </w:rPr>
            <m:t xml:space="preserve"> </m:t>
          </m:r>
          <m:r>
            <w:rPr>
              <w:rFonts w:ascii="Cambria Math" w:hAnsi="Cambria Math"/>
            </w:rPr>
            <m:t>zam</m:t>
          </m:r>
          <m:r>
            <w:rPr>
              <w:rFonts w:ascii="Trebuchet MS" w:hAnsi="Trebuchet MS"/>
            </w:rPr>
            <m:t>ě</m:t>
          </m:r>
          <m:r>
            <w:rPr>
              <w:rFonts w:ascii="Cambria Math" w:hAnsi="Cambria Math"/>
            </w:rPr>
            <m:t>stnanc</m:t>
          </m:r>
          <m:r>
            <w:rPr>
              <w:rFonts w:ascii="Trebuchet MS" w:hAnsi="Trebuchet MS"/>
            </w:rPr>
            <m:t>ů</m:t>
          </m:r>
          <m:r>
            <w:rPr>
              <w:rFonts w:ascii="Cambria Math" w:hAnsi="Trebuchet MS"/>
            </w:rPr>
            <m:t xml:space="preserve">= </m:t>
          </m:r>
          <m:f>
            <m:fPr>
              <m:ctrlPr>
                <w:rPr>
                  <w:rFonts w:ascii="Cambria Math" w:hAnsi="Trebuchet MS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celko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Trebuchet MS" w:hAnsi="Trebuchet MS"/>
                </w:rPr>
                <m:t>ý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Trebuchet MS" w:hAnsi="Trebuchet MS"/>
                </w:rPr>
                <m:t>č</m:t>
              </m:r>
              <m:r>
                <w:rPr>
                  <w:rFonts w:ascii="Cambria Math" w:hAnsi="Cambria Math"/>
                </w:rPr>
                <m:t>as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pot</m:t>
              </m:r>
              <m:r>
                <w:rPr>
                  <w:rFonts w:ascii="Trebuchet MS" w:hAnsi="Trebuchet MS"/>
                </w:rPr>
                <m:t>ř</m:t>
              </m:r>
              <m:r>
                <w:rPr>
                  <w:rFonts w:ascii="Cambria Math" w:hAnsi="Cambria Math"/>
                </w:rPr>
                <m:t>ebn</m:t>
              </m:r>
              <m:r>
                <w:rPr>
                  <w:rFonts w:ascii="Trebuchet MS" w:hAnsi="Trebuchet MS"/>
                </w:rPr>
                <m:t>ý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pro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Trebuchet MS" w:hAnsi="Trebuchet MS"/>
                </w:rPr>
                <m:t>ý</m:t>
              </m:r>
              <m:r>
                <w:rPr>
                  <w:rFonts w:ascii="Cambria Math" w:hAnsi="Cambria Math"/>
                </w:rPr>
                <m:t>robu</m:t>
              </m:r>
            </m:num>
            <m:den>
              <m:r>
                <w:rPr>
                  <w:rFonts w:ascii="Cambria Math" w:hAnsi="Cambria Math"/>
                </w:rPr>
                <m:t>fond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pracovn</m:t>
              </m:r>
              <m:r>
                <w:rPr>
                  <w:rFonts w:ascii="Trebuchet MS" w:hAnsi="Trebuchet MS"/>
                </w:rPr>
                <m:t>í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doby</m:t>
              </m:r>
              <m:r>
                <w:rPr>
                  <w:rFonts w:ascii="Cambria Math" w:hAnsi="Trebuchet MS"/>
                </w:rPr>
                <m:t xml:space="preserve"> 1 </m:t>
              </m:r>
              <m:r>
                <w:rPr>
                  <w:rFonts w:ascii="Cambria Math" w:hAnsi="Cambria Math"/>
                </w:rPr>
                <m:t>zam</m:t>
              </m:r>
              <m:r>
                <w:rPr>
                  <w:rFonts w:ascii="Trebuchet MS" w:hAnsi="Trebuchet MS"/>
                </w:rPr>
                <m:t>ě</m:t>
              </m:r>
              <m:r>
                <w:rPr>
                  <w:rFonts w:ascii="Cambria Math" w:hAnsi="Cambria Math"/>
                </w:rPr>
                <m:t>stnance</m:t>
              </m:r>
            </m:den>
          </m:f>
        </m:oMath>
      </m:oMathPara>
    </w:p>
    <w:p w:rsidR="00B25133" w:rsidRDefault="00B25133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B25133" w:rsidRPr="004B60B3" w:rsidRDefault="00B25133" w:rsidP="004B60B3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normy obsluhy - stanovení počtu zaměstnanců pro obsluhu určitého zařízení</w:t>
      </w:r>
    </w:p>
    <w:p w:rsidR="00B25133" w:rsidRPr="004B60B3" w:rsidRDefault="00B25133" w:rsidP="004B60B3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normy stavů - pro situace, kdy musí pracovník být na pracovišti, přestože právě nepracuje (např. skladník)</w:t>
      </w:r>
    </w:p>
    <w:p w:rsidR="00B25133" w:rsidRPr="0093707B" w:rsidRDefault="00B25133" w:rsidP="004B60B3">
      <w:pPr>
        <w:spacing w:before="240" w:after="120" w:line="276" w:lineRule="auto"/>
        <w:jc w:val="both"/>
        <w:rPr>
          <w:rFonts w:ascii="Trebuchet MS" w:hAnsi="Trebuchet MS"/>
        </w:rPr>
      </w:pPr>
    </w:p>
    <w:p w:rsidR="00B25133" w:rsidRPr="007745F8" w:rsidRDefault="00B25133" w:rsidP="00E875F2">
      <w:pPr>
        <w:spacing w:before="240" w:after="120" w:line="276" w:lineRule="auto"/>
        <w:jc w:val="center"/>
        <w:rPr>
          <w:rFonts w:ascii="Trebuchet MS" w:hAnsi="Trebuchet MS"/>
          <w:b/>
        </w:rPr>
      </w:pPr>
      <w:r w:rsidRPr="007745F8">
        <w:rPr>
          <w:rFonts w:ascii="Trebuchet MS" w:hAnsi="Trebuchet MS"/>
        </w:rPr>
        <w:br w:type="page"/>
      </w:r>
      <w:r w:rsidRPr="00E875F2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B25133" w:rsidRDefault="00B25133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Určete, jak probíhá "koloběh" zaměstnanců v podniku.</w:t>
      </w:r>
    </w:p>
    <w:p w:rsidR="00B25133" w:rsidRDefault="00B25133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portále </w:t>
      </w:r>
      <w:r w:rsidRPr="008A6AE9">
        <w:rPr>
          <w:rFonts w:ascii="Trebuchet MS" w:hAnsi="Trebuchet MS"/>
        </w:rPr>
        <w:t>http://www.</w:t>
      </w:r>
      <w:r>
        <w:rPr>
          <w:rFonts w:ascii="Trebuchet MS" w:hAnsi="Trebuchet MS"/>
        </w:rPr>
        <w:t>istp.cz v katalogu Národní soustavy povolání vyhledejte informace o povolání "samostatný technik silniční dopravy". Jaké pracovní činnosti může zajišťovat?</w:t>
      </w:r>
    </w:p>
    <w:p w:rsidR="00B25133" w:rsidRDefault="00B25133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portále </w:t>
      </w:r>
      <w:r w:rsidRPr="008A6AE9">
        <w:rPr>
          <w:rFonts w:ascii="Trebuchet MS" w:hAnsi="Trebuchet MS"/>
        </w:rPr>
        <w:t>http://www.</w:t>
      </w:r>
      <w:r>
        <w:rPr>
          <w:rFonts w:ascii="Trebuchet MS" w:hAnsi="Trebuchet MS"/>
        </w:rPr>
        <w:t>istp.cz v katalogu Národní soustavy povolání vyhledejte informace o typové pozici "řidič nákladní dopravy". Jaké pracovní podmínky jsou svázány s touto pozicí? Jaké jsou na tuto pracovní pozici kladeny kvalifikační požadavky? Zjis</w:t>
      </w:r>
      <w:r w:rsidR="00E875F2">
        <w:rPr>
          <w:rFonts w:ascii="Trebuchet MS" w:hAnsi="Trebuchet MS"/>
        </w:rPr>
        <w:t>těte</w:t>
      </w:r>
      <w:r>
        <w:rPr>
          <w:rFonts w:ascii="Trebuchet MS" w:hAnsi="Trebuchet MS"/>
        </w:rPr>
        <w:t>, která onemocnění omezují výkon této pozice.</w:t>
      </w:r>
    </w:p>
    <w:p w:rsidR="00B25133" w:rsidRPr="00F10BA5" w:rsidRDefault="00B25133" w:rsidP="000937B2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B25133" w:rsidRPr="00DB08CF" w:rsidRDefault="00B25133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B25133" w:rsidRDefault="00B25133"/>
    <w:sectPr w:rsidR="00B25133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48" w:rsidRDefault="00F55B48" w:rsidP="003A7C4B">
      <w:r>
        <w:separator/>
      </w:r>
    </w:p>
  </w:endnote>
  <w:endnote w:type="continuationSeparator" w:id="0">
    <w:p w:rsidR="00F55B48" w:rsidRDefault="00F55B48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33" w:rsidRDefault="00B25133" w:rsidP="00B320CE">
    <w:pPr>
      <w:pStyle w:val="Zpat"/>
    </w:pPr>
    <w:r>
      <w:rPr>
        <w:rFonts w:ascii="Trebuchet MS" w:hAnsi="Trebuchet MS"/>
      </w:rPr>
      <w:t>VY_32_INOVACE_18_1_13</w:t>
    </w:r>
    <w:r w:rsidRPr="00966D23">
      <w:rPr>
        <w:rFonts w:ascii="Trebuchet MS" w:hAnsi="Trebuchet MS"/>
      </w:rPr>
      <w:t xml:space="preserve">                         </w:t>
    </w:r>
    <w:r w:rsidR="008045C0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045C0" w:rsidRPr="00966D23">
      <w:rPr>
        <w:rFonts w:ascii="Trebuchet MS" w:hAnsi="Trebuchet MS"/>
      </w:rPr>
      <w:fldChar w:fldCharType="separate"/>
    </w:r>
    <w:r w:rsidR="002D70FE">
      <w:rPr>
        <w:rFonts w:ascii="Trebuchet MS" w:hAnsi="Trebuchet MS"/>
        <w:noProof/>
      </w:rPr>
      <w:t>2</w:t>
    </w:r>
    <w:r w:rsidR="008045C0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B25133" w:rsidRDefault="00B251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48" w:rsidRDefault="00F55B48" w:rsidP="003A7C4B">
      <w:r>
        <w:separator/>
      </w:r>
    </w:p>
  </w:footnote>
  <w:footnote w:type="continuationSeparator" w:id="0">
    <w:p w:rsidR="00F55B48" w:rsidRDefault="00F55B48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33" w:rsidRDefault="00F65D2B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7A"/>
    <w:multiLevelType w:val="hybridMultilevel"/>
    <w:tmpl w:val="583EB50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B27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17BE8"/>
    <w:multiLevelType w:val="hybridMultilevel"/>
    <w:tmpl w:val="85F80E7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F6F"/>
    <w:multiLevelType w:val="hybridMultilevel"/>
    <w:tmpl w:val="1FBAA2A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86417"/>
    <w:multiLevelType w:val="hybridMultilevel"/>
    <w:tmpl w:val="9EF4A1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585BB6"/>
    <w:multiLevelType w:val="hybridMultilevel"/>
    <w:tmpl w:val="56126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D615E"/>
    <w:multiLevelType w:val="hybridMultilevel"/>
    <w:tmpl w:val="3216E81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1EF2"/>
    <w:multiLevelType w:val="hybridMultilevel"/>
    <w:tmpl w:val="A4280A7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CE5453"/>
    <w:multiLevelType w:val="hybridMultilevel"/>
    <w:tmpl w:val="FAC27C62"/>
    <w:lvl w:ilvl="0" w:tplc="EBC818E2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A60B0"/>
    <w:multiLevelType w:val="hybridMultilevel"/>
    <w:tmpl w:val="0DCCC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13AF8"/>
    <w:rsid w:val="00015DEE"/>
    <w:rsid w:val="000210F6"/>
    <w:rsid w:val="0002344A"/>
    <w:rsid w:val="000937B2"/>
    <w:rsid w:val="000B02CB"/>
    <w:rsid w:val="000D5A75"/>
    <w:rsid w:val="000E5127"/>
    <w:rsid w:val="000E7DAA"/>
    <w:rsid w:val="001A1B22"/>
    <w:rsid w:val="001D1525"/>
    <w:rsid w:val="00202B98"/>
    <w:rsid w:val="00244CB1"/>
    <w:rsid w:val="00284B1F"/>
    <w:rsid w:val="002D70FE"/>
    <w:rsid w:val="002E2632"/>
    <w:rsid w:val="00332973"/>
    <w:rsid w:val="003342E2"/>
    <w:rsid w:val="003505A8"/>
    <w:rsid w:val="0039412E"/>
    <w:rsid w:val="003A7C4B"/>
    <w:rsid w:val="003B0A99"/>
    <w:rsid w:val="003F60B1"/>
    <w:rsid w:val="004064D5"/>
    <w:rsid w:val="00416AB8"/>
    <w:rsid w:val="00425948"/>
    <w:rsid w:val="00491B63"/>
    <w:rsid w:val="0049726A"/>
    <w:rsid w:val="004B60B3"/>
    <w:rsid w:val="004F2D95"/>
    <w:rsid w:val="004F4FA9"/>
    <w:rsid w:val="00583D84"/>
    <w:rsid w:val="005A534F"/>
    <w:rsid w:val="005F71D4"/>
    <w:rsid w:val="0066334A"/>
    <w:rsid w:val="006B2241"/>
    <w:rsid w:val="006E04AB"/>
    <w:rsid w:val="007024B8"/>
    <w:rsid w:val="00711D91"/>
    <w:rsid w:val="00742D9A"/>
    <w:rsid w:val="00745009"/>
    <w:rsid w:val="00767E6A"/>
    <w:rsid w:val="007745F8"/>
    <w:rsid w:val="007B7153"/>
    <w:rsid w:val="008045C0"/>
    <w:rsid w:val="008354D0"/>
    <w:rsid w:val="008A6AE9"/>
    <w:rsid w:val="008B25C9"/>
    <w:rsid w:val="008B6B41"/>
    <w:rsid w:val="008C64EE"/>
    <w:rsid w:val="008D3D11"/>
    <w:rsid w:val="008D5327"/>
    <w:rsid w:val="0093707B"/>
    <w:rsid w:val="00956753"/>
    <w:rsid w:val="00966D23"/>
    <w:rsid w:val="009836BB"/>
    <w:rsid w:val="00A0539D"/>
    <w:rsid w:val="00A22E97"/>
    <w:rsid w:val="00A40AD2"/>
    <w:rsid w:val="00A73064"/>
    <w:rsid w:val="00A86A07"/>
    <w:rsid w:val="00B03C36"/>
    <w:rsid w:val="00B112B9"/>
    <w:rsid w:val="00B23A66"/>
    <w:rsid w:val="00B25133"/>
    <w:rsid w:val="00B320CE"/>
    <w:rsid w:val="00B52D0C"/>
    <w:rsid w:val="00BC4AA1"/>
    <w:rsid w:val="00C02596"/>
    <w:rsid w:val="00C249C2"/>
    <w:rsid w:val="00C445BC"/>
    <w:rsid w:val="00C629F8"/>
    <w:rsid w:val="00D57CB5"/>
    <w:rsid w:val="00D64EFA"/>
    <w:rsid w:val="00DA3080"/>
    <w:rsid w:val="00DB08CF"/>
    <w:rsid w:val="00E43C07"/>
    <w:rsid w:val="00E54712"/>
    <w:rsid w:val="00E75D43"/>
    <w:rsid w:val="00E8354F"/>
    <w:rsid w:val="00E875F2"/>
    <w:rsid w:val="00EA2244"/>
    <w:rsid w:val="00EE0853"/>
    <w:rsid w:val="00F10BA5"/>
    <w:rsid w:val="00F55228"/>
    <w:rsid w:val="00F55B48"/>
    <w:rsid w:val="00F65D2B"/>
    <w:rsid w:val="00F90764"/>
    <w:rsid w:val="00F95283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43C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75D4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E75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5D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3703</Characters>
  <Application>Microsoft Office Word</Application>
  <DocSecurity>0</DocSecurity>
  <Lines>30</Lines>
  <Paragraphs>8</Paragraphs>
  <ScaleCrop>false</ScaleCrop>
  <Company>ISŠTE Sokolov, Jednoty 1620, 356 11  SOKOLOV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9</cp:revision>
  <dcterms:created xsi:type="dcterms:W3CDTF">2013-05-20T18:08:00Z</dcterms:created>
  <dcterms:modified xsi:type="dcterms:W3CDTF">2013-05-23T18:13:00Z</dcterms:modified>
</cp:coreProperties>
</file>