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955A79">
      <w:pPr>
        <w:jc w:val="both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B07638">
              <w:rPr>
                <w:rFonts w:ascii="Trebuchet MS" w:hAnsi="Trebuchet MS"/>
                <w:b/>
              </w:rPr>
              <w:t>18</w:t>
            </w:r>
          </w:p>
        </w:tc>
      </w:tr>
      <w:tr w:rsidR="00B94346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94346" w:rsidRPr="002E2632" w:rsidRDefault="00B94346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94346" w:rsidRPr="002E2632" w:rsidRDefault="00B94346" w:rsidP="00955A7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Daň </w:t>
            </w:r>
            <w:r w:rsidR="00A05844">
              <w:rPr>
                <w:rFonts w:ascii="Trebuchet MS" w:hAnsi="Trebuchet MS"/>
              </w:rPr>
              <w:t>silniční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312733" w:rsidP="00955A7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955A79" w:rsidP="00955A7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52D0C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8E3E53" w:rsidP="00955A7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232A19" w:rsidP="00955A7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Návaznost na ŠVP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955A79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955A79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955A79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955A79">
              <w:rPr>
                <w:rFonts w:ascii="Trebuchet MS" w:hAnsi="Trebuchet MS"/>
              </w:rPr>
              <w:t>.</w:t>
            </w:r>
          </w:p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955A79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>využívá informační a komunikační prostředky a technologie pro kvalitní a účinnou komunikaci s okolním světem</w:t>
            </w:r>
            <w:r w:rsidR="00955A79">
              <w:rPr>
                <w:rFonts w:ascii="Trebuchet MS" w:hAnsi="Trebuchet MS"/>
              </w:rPr>
              <w:t>.</w:t>
            </w:r>
          </w:p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EF7DAA" w:rsidRDefault="00B52D0C" w:rsidP="00EF7DA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EF7DAA">
              <w:rPr>
                <w:rFonts w:ascii="Trebuchet MS" w:hAnsi="Trebuchet MS"/>
              </w:rPr>
              <w:br/>
            </w:r>
            <w:r w:rsidRPr="00EF7DAA">
              <w:rPr>
                <w:rFonts w:ascii="Trebuchet MS" w:hAnsi="Trebuchet MS"/>
              </w:rPr>
              <w:t>a závazky, adaptuje se na změněné nebo nové pracovní podmínky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955A79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B25CF3" w:rsidRDefault="00EB432B" w:rsidP="00955A79">
            <w:pPr>
              <w:jc w:val="both"/>
              <w:rPr>
                <w:rFonts w:ascii="Trebuchet MS" w:hAnsi="Trebuchet MS"/>
              </w:rPr>
            </w:pPr>
            <w:r w:rsidRPr="00EB432B">
              <w:rPr>
                <w:rFonts w:ascii="Trebuchet MS" w:hAnsi="Trebuchet MS"/>
              </w:rPr>
              <w:t xml:space="preserve">Učebnice Účetnictví II. díl 2013. </w:t>
            </w:r>
            <w:proofErr w:type="spellStart"/>
            <w:r w:rsidRPr="00EB432B">
              <w:rPr>
                <w:rFonts w:ascii="Trebuchet MS" w:hAnsi="Trebuchet MS"/>
              </w:rPr>
              <w:t>Štohl</w:t>
            </w:r>
            <w:proofErr w:type="spellEnd"/>
            <w:r w:rsidRPr="00EB432B">
              <w:rPr>
                <w:rFonts w:ascii="Trebuchet MS" w:hAnsi="Trebuchet MS"/>
              </w:rPr>
              <w:t xml:space="preserve"> - Vzdělávací středisko Znojmo, 2013. ISBN 978-80-87237-59-5. </w:t>
            </w:r>
          </w:p>
          <w:p w:rsidR="008E53AF" w:rsidRDefault="008E53AF" w:rsidP="00955A79">
            <w:pPr>
              <w:jc w:val="both"/>
              <w:rPr>
                <w:rFonts w:ascii="Trebuchet MS" w:hAnsi="Trebuchet MS"/>
              </w:rPr>
            </w:pPr>
            <w:r w:rsidRPr="008E53AF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ovotná</w:t>
            </w:r>
            <w:r w:rsidRPr="008E53AF">
              <w:rPr>
                <w:rFonts w:ascii="Trebuchet MS" w:hAnsi="Trebuchet MS"/>
              </w:rPr>
              <w:t>, M</w:t>
            </w:r>
            <w:r w:rsidR="00A827D7">
              <w:rPr>
                <w:rFonts w:ascii="Trebuchet MS" w:hAnsi="Trebuchet MS"/>
              </w:rPr>
              <w:t xml:space="preserve">., </w:t>
            </w:r>
            <w:r w:rsidRPr="008E53AF">
              <w:rPr>
                <w:rFonts w:ascii="Trebuchet MS" w:hAnsi="Trebuchet MS"/>
              </w:rPr>
              <w:t>N</w:t>
            </w:r>
            <w:r w:rsidR="00A827D7">
              <w:rPr>
                <w:rFonts w:ascii="Trebuchet MS" w:hAnsi="Trebuchet MS"/>
              </w:rPr>
              <w:t>ovotný</w:t>
            </w:r>
            <w:r w:rsidRPr="008E53AF">
              <w:rPr>
                <w:rFonts w:ascii="Trebuchet MS" w:hAnsi="Trebuchet MS"/>
              </w:rPr>
              <w:t>, P</w:t>
            </w:r>
            <w:r w:rsidR="00A827D7">
              <w:rPr>
                <w:rFonts w:ascii="Trebuchet MS" w:hAnsi="Trebuchet MS"/>
              </w:rPr>
              <w:t>.</w:t>
            </w:r>
            <w:r w:rsidRPr="008E53AF">
              <w:rPr>
                <w:rFonts w:ascii="Trebuchet MS" w:hAnsi="Trebuchet MS"/>
              </w:rPr>
              <w:t>: Zákon o da</w:t>
            </w:r>
            <w:r w:rsidR="00A827D7">
              <w:rPr>
                <w:rFonts w:ascii="Trebuchet MS" w:hAnsi="Trebuchet MS"/>
              </w:rPr>
              <w:t>ni silniční: Komentář</w:t>
            </w:r>
            <w:r w:rsidRPr="008E53AF">
              <w:rPr>
                <w:rFonts w:ascii="Trebuchet MS" w:hAnsi="Trebuchet MS"/>
              </w:rPr>
              <w:t xml:space="preserve">. </w:t>
            </w:r>
            <w:r w:rsidR="00A827D7">
              <w:rPr>
                <w:rFonts w:ascii="Trebuchet MS" w:hAnsi="Trebuchet MS"/>
              </w:rPr>
              <w:t xml:space="preserve">Nakladatelství </w:t>
            </w:r>
            <w:r w:rsidRPr="008E53AF">
              <w:rPr>
                <w:rFonts w:ascii="Trebuchet MS" w:hAnsi="Trebuchet MS"/>
              </w:rPr>
              <w:t>C. H. Beck,</w:t>
            </w:r>
            <w:r w:rsidR="00A827D7">
              <w:rPr>
                <w:rFonts w:ascii="Trebuchet MS" w:hAnsi="Trebuchet MS"/>
              </w:rPr>
              <w:t xml:space="preserve"> Praha, </w:t>
            </w:r>
            <w:r w:rsidRPr="008E53AF">
              <w:rPr>
                <w:rFonts w:ascii="Trebuchet MS" w:hAnsi="Trebuchet MS"/>
              </w:rPr>
              <w:t xml:space="preserve">2006. </w:t>
            </w:r>
            <w:r w:rsidR="00A827D7">
              <w:rPr>
                <w:rFonts w:ascii="Trebuchet MS" w:hAnsi="Trebuchet MS"/>
              </w:rPr>
              <w:t xml:space="preserve">ISBN </w:t>
            </w:r>
            <w:r w:rsidR="00A827D7" w:rsidRPr="00A827D7">
              <w:rPr>
                <w:rFonts w:ascii="Trebuchet MS" w:hAnsi="Trebuchet MS"/>
              </w:rPr>
              <w:t>80-7179-512-7</w:t>
            </w:r>
            <w:r w:rsidR="00A827D7">
              <w:rPr>
                <w:rFonts w:ascii="Trebuchet MS" w:hAnsi="Trebuchet MS"/>
              </w:rPr>
              <w:t>.</w:t>
            </w:r>
          </w:p>
          <w:p w:rsidR="00522310" w:rsidRPr="002E2632" w:rsidRDefault="00522310" w:rsidP="00955A79">
            <w:pPr>
              <w:jc w:val="both"/>
              <w:rPr>
                <w:rFonts w:ascii="Trebuchet MS" w:hAnsi="Trebuchet MS"/>
              </w:rPr>
            </w:pPr>
            <w:r w:rsidRPr="00522310">
              <w:rPr>
                <w:rFonts w:ascii="Trebuchet MS" w:hAnsi="Trebuchet MS"/>
              </w:rPr>
              <w:t>Zákon č. 16/1993 Sb., o dani silniční, ve znění pozdějších předpisů</w:t>
            </w:r>
            <w:r>
              <w:rPr>
                <w:rFonts w:ascii="Trebuchet MS" w:hAnsi="Trebuchet MS"/>
              </w:rPr>
              <w:t>.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955A7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A05844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Daň silniční, výpočet daně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5C1C6B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955A79" w:rsidP="00955A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955A79" w:rsidRDefault="00955A79" w:rsidP="009D4AFC">
      <w:pPr>
        <w:jc w:val="both"/>
        <w:rPr>
          <w:rFonts w:ascii="Trebuchet MS" w:hAnsi="Trebuchet MS"/>
          <w:i/>
        </w:rPr>
      </w:pPr>
    </w:p>
    <w:p w:rsidR="00EF7DAA" w:rsidRDefault="009D4AFC" w:rsidP="00EF7DAA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955A79" w:rsidRPr="00955A79" w:rsidRDefault="00B52D0C" w:rsidP="00EF7DA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955A79" w:rsidRPr="00955A79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105189" w:rsidRDefault="00522310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Silniční daň</w:t>
      </w:r>
    </w:p>
    <w:p w:rsidR="00282D8D" w:rsidRDefault="006A5286" w:rsidP="00371C09">
      <w:pPr>
        <w:spacing w:before="240" w:after="120" w:line="276" w:lineRule="auto"/>
        <w:jc w:val="both"/>
        <w:rPr>
          <w:rFonts w:ascii="Trebuchet MS" w:hAnsi="Trebuchet MS"/>
        </w:rPr>
      </w:pPr>
      <w:r w:rsidRPr="006A5286">
        <w:rPr>
          <w:rFonts w:ascii="Trebuchet MS" w:hAnsi="Trebuchet MS"/>
        </w:rPr>
        <w:t>Výnos daně silniční je příjmem Státního fondu dopravní infrastruktury</w:t>
      </w:r>
      <w:r w:rsidR="00282D8D">
        <w:rPr>
          <w:rFonts w:ascii="Trebuchet MS" w:hAnsi="Trebuchet MS"/>
        </w:rPr>
        <w:t>.</w:t>
      </w:r>
    </w:p>
    <w:p w:rsidR="00371C09" w:rsidRPr="00371C09" w:rsidRDefault="00CE5435" w:rsidP="00371C0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</w:t>
      </w:r>
      <w:r w:rsidR="00371C09" w:rsidRPr="00371C09">
        <w:rPr>
          <w:rFonts w:ascii="Trebuchet MS" w:hAnsi="Trebuchet MS"/>
          <w:b/>
        </w:rPr>
        <w:t>ředmět daně</w:t>
      </w:r>
    </w:p>
    <w:p w:rsidR="00282D8D" w:rsidRPr="00282D8D" w:rsidRDefault="00282D8D" w:rsidP="00371C09">
      <w:pPr>
        <w:spacing w:before="240" w:after="120" w:line="276" w:lineRule="auto"/>
        <w:jc w:val="both"/>
        <w:rPr>
          <w:rFonts w:ascii="Trebuchet MS" w:hAnsi="Trebuchet MS"/>
        </w:rPr>
      </w:pPr>
      <w:r w:rsidRPr="00282D8D">
        <w:rPr>
          <w:rFonts w:ascii="Trebuchet MS" w:hAnsi="Trebuchet MS"/>
        </w:rPr>
        <w:t>Předmětem daně silniční jsou silniční motorová vozidla a jejich přípojná vozidla, pokud</w:t>
      </w:r>
      <w:r>
        <w:rPr>
          <w:rFonts w:ascii="Trebuchet MS" w:hAnsi="Trebuchet MS"/>
        </w:rPr>
        <w:t xml:space="preserve"> </w:t>
      </w:r>
      <w:r w:rsidRPr="00282D8D">
        <w:rPr>
          <w:rFonts w:ascii="Trebuchet MS" w:hAnsi="Trebuchet MS"/>
        </w:rPr>
        <w:t>jsou provozovaná a registrovaná na úz</w:t>
      </w:r>
      <w:r>
        <w:rPr>
          <w:rFonts w:ascii="Trebuchet MS" w:hAnsi="Trebuchet MS"/>
        </w:rPr>
        <w:t>emí ČR a pokud jsou používána k </w:t>
      </w:r>
      <w:r w:rsidRPr="00282D8D">
        <w:rPr>
          <w:rFonts w:ascii="Trebuchet MS" w:hAnsi="Trebuchet MS"/>
        </w:rPr>
        <w:t>podnikání nebo jiné samostatné</w:t>
      </w:r>
      <w:r>
        <w:rPr>
          <w:rFonts w:ascii="Trebuchet MS" w:hAnsi="Trebuchet MS"/>
        </w:rPr>
        <w:t xml:space="preserve"> </w:t>
      </w:r>
      <w:r w:rsidRPr="00282D8D">
        <w:rPr>
          <w:rFonts w:ascii="Trebuchet MS" w:hAnsi="Trebuchet MS"/>
        </w:rPr>
        <w:t>výdělečné činn</w:t>
      </w:r>
      <w:r>
        <w:rPr>
          <w:rFonts w:ascii="Trebuchet MS" w:hAnsi="Trebuchet MS"/>
        </w:rPr>
        <w:t>osti nebo v přímé souvislosti s </w:t>
      </w:r>
      <w:r w:rsidRPr="00282D8D">
        <w:rPr>
          <w:rFonts w:ascii="Trebuchet MS" w:hAnsi="Trebuchet MS"/>
        </w:rPr>
        <w:t>nimi. Silniční motorové vozidlo je takové vozidlo,</w:t>
      </w:r>
      <w:r>
        <w:rPr>
          <w:rFonts w:ascii="Trebuchet MS" w:hAnsi="Trebuchet MS"/>
        </w:rPr>
        <w:t xml:space="preserve"> </w:t>
      </w:r>
      <w:r w:rsidRPr="00282D8D">
        <w:rPr>
          <w:rFonts w:ascii="Trebuchet MS" w:hAnsi="Trebuchet MS"/>
        </w:rPr>
        <w:t>které je vyrobené za účelem provozu na pozemních komunikacích k přepravě osob, zvířat a věcí.</w:t>
      </w:r>
    </w:p>
    <w:p w:rsidR="00371C09" w:rsidRPr="00371C09" w:rsidRDefault="00CE5435" w:rsidP="00371C0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</w:t>
      </w:r>
      <w:r w:rsidR="00371C09" w:rsidRPr="00371C09">
        <w:rPr>
          <w:rFonts w:ascii="Trebuchet MS" w:hAnsi="Trebuchet MS"/>
          <w:b/>
        </w:rPr>
        <w:t>egativní vymezení daně</w:t>
      </w:r>
    </w:p>
    <w:p w:rsidR="00DD28DA" w:rsidRDefault="00DD28DA" w:rsidP="00371C09">
      <w:pPr>
        <w:spacing w:before="240" w:after="120" w:line="276" w:lineRule="auto"/>
        <w:jc w:val="both"/>
        <w:rPr>
          <w:rFonts w:ascii="Trebuchet MS" w:hAnsi="Trebuchet MS"/>
        </w:rPr>
      </w:pPr>
      <w:r w:rsidRPr="00DD28DA">
        <w:rPr>
          <w:rFonts w:ascii="Trebuchet MS" w:hAnsi="Trebuchet MS"/>
        </w:rPr>
        <w:t>Předmětem daně nejsou</w:t>
      </w:r>
      <w:r>
        <w:rPr>
          <w:rFonts w:ascii="Trebuchet MS" w:hAnsi="Trebuchet MS"/>
        </w:rPr>
        <w:t xml:space="preserve"> </w:t>
      </w:r>
      <w:r w:rsidRPr="00DD28DA">
        <w:rPr>
          <w:rFonts w:ascii="Trebuchet MS" w:hAnsi="Trebuchet MS"/>
        </w:rPr>
        <w:t>speciální pásové automobily</w:t>
      </w:r>
      <w:r>
        <w:rPr>
          <w:rFonts w:ascii="Trebuchet MS" w:hAnsi="Trebuchet MS"/>
        </w:rPr>
        <w:t xml:space="preserve"> a zvláštní vozidla (lesnické a </w:t>
      </w:r>
      <w:r w:rsidRPr="00DD28DA">
        <w:rPr>
          <w:rFonts w:ascii="Trebuchet MS" w:hAnsi="Trebuchet MS"/>
        </w:rPr>
        <w:t>zemědělské traktory, vozíky pro invalidy</w:t>
      </w:r>
      <w:r>
        <w:rPr>
          <w:rFonts w:ascii="Trebuchet MS" w:hAnsi="Trebuchet MS"/>
        </w:rPr>
        <w:t xml:space="preserve"> </w:t>
      </w:r>
      <w:r w:rsidRPr="00DD28DA">
        <w:rPr>
          <w:rFonts w:ascii="Trebuchet MS" w:hAnsi="Trebuchet MS"/>
        </w:rPr>
        <w:t>s motorickým pohonem a další) a dále vozidla s přidělenou zvláštní registrační značkou (jedná se o</w:t>
      </w:r>
      <w:r>
        <w:rPr>
          <w:rFonts w:ascii="Trebuchet MS" w:hAnsi="Trebuchet MS"/>
        </w:rPr>
        <w:t xml:space="preserve"> značky pro </w:t>
      </w:r>
      <w:r w:rsidRPr="00DD28DA">
        <w:rPr>
          <w:rFonts w:ascii="Trebuchet MS" w:hAnsi="Trebuchet MS"/>
        </w:rPr>
        <w:t>jednorázové použití a s omezenou dobou pla</w:t>
      </w:r>
      <w:r>
        <w:rPr>
          <w:rFonts w:ascii="Trebuchet MS" w:hAnsi="Trebuchet MS"/>
        </w:rPr>
        <w:t>tnosti, trvale manipulační, pro </w:t>
      </w:r>
      <w:r w:rsidRPr="00DD28DA">
        <w:rPr>
          <w:rFonts w:ascii="Trebuchet MS" w:hAnsi="Trebuchet MS"/>
        </w:rPr>
        <w:t>zkušební účely</w:t>
      </w:r>
      <w:r>
        <w:rPr>
          <w:rFonts w:ascii="Trebuchet MS" w:hAnsi="Trebuchet MS"/>
        </w:rPr>
        <w:t xml:space="preserve"> </w:t>
      </w:r>
      <w:r w:rsidRPr="00DD28DA">
        <w:rPr>
          <w:rFonts w:ascii="Trebuchet MS" w:hAnsi="Trebuchet MS"/>
        </w:rPr>
        <w:t>a pro historická a sportovní vozidla)</w:t>
      </w:r>
      <w:r>
        <w:rPr>
          <w:rFonts w:ascii="Trebuchet MS" w:hAnsi="Trebuchet MS"/>
        </w:rPr>
        <w:t>.</w:t>
      </w:r>
    </w:p>
    <w:p w:rsidR="00DD28DA" w:rsidRPr="00371C09" w:rsidRDefault="00CE5435" w:rsidP="00DD28DA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</w:t>
      </w:r>
      <w:r w:rsidR="00371C09" w:rsidRPr="00371C09">
        <w:rPr>
          <w:rFonts w:ascii="Trebuchet MS" w:hAnsi="Trebuchet MS"/>
          <w:b/>
        </w:rPr>
        <w:t>ubjekt daně</w:t>
      </w:r>
    </w:p>
    <w:p w:rsidR="00371C09" w:rsidRDefault="00371C09" w:rsidP="00371C09">
      <w:pPr>
        <w:spacing w:before="240" w:after="120" w:line="276" w:lineRule="auto"/>
        <w:jc w:val="both"/>
        <w:rPr>
          <w:rFonts w:ascii="Trebuchet MS" w:hAnsi="Trebuchet MS"/>
        </w:rPr>
      </w:pPr>
      <w:r w:rsidRPr="00371C09">
        <w:rPr>
          <w:rFonts w:ascii="Trebuchet MS" w:hAnsi="Trebuchet MS"/>
        </w:rPr>
        <w:t>Poplatníkem daně je fyzická nebo právnická osoba, která je provozovatelem</w:t>
      </w:r>
      <w:r>
        <w:rPr>
          <w:rFonts w:ascii="Trebuchet MS" w:hAnsi="Trebuchet MS"/>
        </w:rPr>
        <w:t xml:space="preserve"> </w:t>
      </w:r>
      <w:r w:rsidRPr="00371C09">
        <w:rPr>
          <w:rFonts w:ascii="Trebuchet MS" w:hAnsi="Trebuchet MS"/>
        </w:rPr>
        <w:t xml:space="preserve">vozidla a je zapsána v technickém průkazu vozidla. Ve většině případů </w:t>
      </w:r>
      <w:r>
        <w:rPr>
          <w:rFonts w:ascii="Trebuchet MS" w:hAnsi="Trebuchet MS"/>
        </w:rPr>
        <w:t>jde o </w:t>
      </w:r>
      <w:r w:rsidRPr="00371C09">
        <w:rPr>
          <w:rFonts w:ascii="Trebuchet MS" w:hAnsi="Trebuchet MS"/>
        </w:rPr>
        <w:t>vlastníka.</w:t>
      </w:r>
      <w:r>
        <w:rPr>
          <w:rFonts w:ascii="Trebuchet MS" w:hAnsi="Trebuchet MS"/>
        </w:rPr>
        <w:t xml:space="preserve"> </w:t>
      </w:r>
    </w:p>
    <w:p w:rsidR="00371C09" w:rsidRDefault="006A29AB" w:rsidP="00371C0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Poplatníkem se může stát i uživatel: </w:t>
      </w:r>
    </w:p>
    <w:p w:rsidR="006A29AB" w:rsidRDefault="006A29AB" w:rsidP="006A29AB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6A29AB">
        <w:rPr>
          <w:rFonts w:ascii="Trebuchet MS" w:hAnsi="Trebuchet MS"/>
        </w:rPr>
        <w:t>osoba užívá vozidlo, v jehož technickém průkazu je jako provozovatel zapsána osoba, která zemřela, zanikla nebo byla zrušena</w:t>
      </w:r>
      <w:r>
        <w:rPr>
          <w:rFonts w:ascii="Trebuchet MS" w:hAnsi="Trebuchet MS"/>
        </w:rPr>
        <w:t>;</w:t>
      </w:r>
    </w:p>
    <w:p w:rsidR="006A29AB" w:rsidRDefault="006A29AB" w:rsidP="006A29AB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6A29AB">
        <w:rPr>
          <w:rFonts w:ascii="Trebuchet MS" w:hAnsi="Trebuchet MS"/>
        </w:rPr>
        <w:t>vozidlo, jehož provozovatel je z registru vozidel odhlášen</w:t>
      </w:r>
      <w:r>
        <w:rPr>
          <w:rFonts w:ascii="Trebuchet MS" w:hAnsi="Trebuchet MS"/>
        </w:rPr>
        <w:t>;</w:t>
      </w:r>
    </w:p>
    <w:p w:rsidR="006A29AB" w:rsidRDefault="006A29AB" w:rsidP="006A29AB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6A29AB">
        <w:rPr>
          <w:rFonts w:ascii="Trebuchet MS" w:hAnsi="Trebuchet MS"/>
        </w:rPr>
        <w:t>vozidlo registrované jako mobilizační r</w:t>
      </w:r>
      <w:r>
        <w:rPr>
          <w:rFonts w:ascii="Trebuchet MS" w:hAnsi="Trebuchet MS"/>
        </w:rPr>
        <w:t>ezerva nebo pohotovostní zásoba;</w:t>
      </w:r>
    </w:p>
    <w:p w:rsidR="006A29AB" w:rsidRDefault="006A29AB" w:rsidP="006A29AB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6A29AB">
        <w:rPr>
          <w:rFonts w:ascii="Trebuchet MS" w:hAnsi="Trebuchet MS"/>
        </w:rPr>
        <w:t>zaměstnavatel v případě, že zaměstnanec používá k výkonům své služební cesty svůj osobní automobil a zaměstnavatel mu za to vyplácí cestovní náhrady.</w:t>
      </w:r>
    </w:p>
    <w:p w:rsidR="00955A79" w:rsidRDefault="00955A79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6A29AB" w:rsidRPr="00752640" w:rsidRDefault="00CE5435" w:rsidP="006A29AB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Z</w:t>
      </w:r>
      <w:r w:rsidR="00752640" w:rsidRPr="00752640">
        <w:rPr>
          <w:rFonts w:ascii="Trebuchet MS" w:hAnsi="Trebuchet MS"/>
          <w:b/>
        </w:rPr>
        <w:t>áklad daně</w:t>
      </w:r>
    </w:p>
    <w:p w:rsidR="00A02F8F" w:rsidRDefault="00752640" w:rsidP="00A02F8F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A02F8F">
        <w:rPr>
          <w:rFonts w:ascii="Trebuchet MS" w:hAnsi="Trebuchet MS"/>
        </w:rPr>
        <w:t xml:space="preserve">se zjišťuje z technického průkazu k vozidlu, případně ho můžeme zjistit </w:t>
      </w:r>
      <w:r w:rsidR="00A02F8F">
        <w:rPr>
          <w:rFonts w:ascii="Trebuchet MS" w:hAnsi="Trebuchet MS"/>
        </w:rPr>
        <w:t>z </w:t>
      </w:r>
      <w:r w:rsidRPr="00A02F8F">
        <w:rPr>
          <w:rFonts w:ascii="Trebuchet MS" w:hAnsi="Trebuchet MS"/>
        </w:rPr>
        <w:t>ostatních</w:t>
      </w:r>
      <w:r w:rsidR="00A02F8F">
        <w:rPr>
          <w:rFonts w:ascii="Trebuchet MS" w:hAnsi="Trebuchet MS"/>
        </w:rPr>
        <w:t xml:space="preserve"> technických dokladů k vozidlu;</w:t>
      </w:r>
    </w:p>
    <w:p w:rsidR="00C66011" w:rsidRDefault="00752640" w:rsidP="00C66011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A02F8F">
        <w:rPr>
          <w:rFonts w:ascii="Trebuchet MS" w:hAnsi="Trebuchet MS"/>
        </w:rPr>
        <w:t xml:space="preserve">základ daně </w:t>
      </w:r>
      <w:r w:rsidR="00A02F8F" w:rsidRPr="00A02F8F">
        <w:rPr>
          <w:rFonts w:ascii="Trebuchet MS" w:hAnsi="Trebuchet MS"/>
        </w:rPr>
        <w:t xml:space="preserve">se stanovuje </w:t>
      </w:r>
      <w:r w:rsidRPr="00A02F8F">
        <w:rPr>
          <w:rFonts w:ascii="Trebuchet MS" w:hAnsi="Trebuchet MS"/>
        </w:rPr>
        <w:t>za každé vozidlo</w:t>
      </w:r>
      <w:r w:rsidR="00A02F8F" w:rsidRPr="00A02F8F">
        <w:rPr>
          <w:rFonts w:ascii="Trebuchet MS" w:hAnsi="Trebuchet MS"/>
        </w:rPr>
        <w:t xml:space="preserve"> </w:t>
      </w:r>
      <w:r w:rsidRPr="00A02F8F">
        <w:rPr>
          <w:rFonts w:ascii="Trebuchet MS" w:hAnsi="Trebuchet MS"/>
        </w:rPr>
        <w:t xml:space="preserve">samostatně </w:t>
      </w:r>
      <w:r w:rsidR="00A02F8F">
        <w:rPr>
          <w:rFonts w:ascii="Trebuchet MS" w:hAnsi="Trebuchet MS"/>
        </w:rPr>
        <w:t>(</w:t>
      </w:r>
      <w:r w:rsidRPr="00A02F8F">
        <w:rPr>
          <w:rFonts w:ascii="Trebuchet MS" w:hAnsi="Trebuchet MS"/>
        </w:rPr>
        <w:t>např. zvlášť za tahač a zvlášť za návěs</w:t>
      </w:r>
      <w:r w:rsidR="00EF7DAA">
        <w:rPr>
          <w:rFonts w:ascii="Trebuchet MS" w:hAnsi="Trebuchet MS"/>
        </w:rPr>
        <w:t>).</w:t>
      </w:r>
    </w:p>
    <w:p w:rsidR="00C66011" w:rsidRPr="00C66011" w:rsidRDefault="00C66011" w:rsidP="00C66011">
      <w:pPr>
        <w:spacing w:before="240" w:after="120" w:line="276" w:lineRule="auto"/>
        <w:jc w:val="both"/>
        <w:rPr>
          <w:rFonts w:ascii="Trebuchet MS" w:hAnsi="Trebuchet MS"/>
        </w:rPr>
      </w:pPr>
      <w:r w:rsidRPr="00C66011">
        <w:rPr>
          <w:rFonts w:ascii="Trebuchet MS" w:hAnsi="Trebuchet MS"/>
        </w:rPr>
        <w:t>Základem daně je:</w:t>
      </w:r>
    </w:p>
    <w:p w:rsidR="00EF7DAA" w:rsidRDefault="00C66011" w:rsidP="0073126E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EF7DAA">
        <w:rPr>
          <w:rFonts w:ascii="Trebuchet MS" w:hAnsi="Trebuchet MS"/>
        </w:rPr>
        <w:t>zdvihový objem motoru v cm</w:t>
      </w:r>
      <w:r w:rsidR="00955A79" w:rsidRPr="00EF7DAA">
        <w:rPr>
          <w:rFonts w:ascii="Trebuchet MS" w:hAnsi="Trebuchet MS"/>
        </w:rPr>
        <w:t>³</w:t>
      </w:r>
      <w:r w:rsidRPr="00EF7DAA">
        <w:rPr>
          <w:rFonts w:ascii="Trebuchet MS" w:hAnsi="Trebuchet MS"/>
        </w:rPr>
        <w:t xml:space="preserve">  u osobních automobilů s výjimkou těch na </w:t>
      </w:r>
      <w:r w:rsidR="00EF7DAA">
        <w:rPr>
          <w:rFonts w:ascii="Trebuchet MS" w:hAnsi="Trebuchet MS"/>
        </w:rPr>
        <w:t>elektrický pohon;</w:t>
      </w:r>
    </w:p>
    <w:p w:rsidR="00C66011" w:rsidRPr="00EF7DAA" w:rsidRDefault="00C66011" w:rsidP="0073126E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EF7DAA">
        <w:rPr>
          <w:rFonts w:ascii="Trebuchet MS" w:hAnsi="Trebuchet MS"/>
        </w:rPr>
        <w:t>součet největších povolených hmotností na nápravy v</w:t>
      </w:r>
      <w:r w:rsidR="00EF7DAA">
        <w:rPr>
          <w:rFonts w:ascii="Trebuchet MS" w:hAnsi="Trebuchet MS"/>
        </w:rPr>
        <w:t xml:space="preserve"> tunách a počet náprav u návěsů;</w:t>
      </w:r>
    </w:p>
    <w:p w:rsidR="00C66011" w:rsidRPr="00A02F8F" w:rsidRDefault="00C66011" w:rsidP="00C66011">
      <w:pPr>
        <w:pStyle w:val="Odstavecseseznamem"/>
        <w:numPr>
          <w:ilvl w:val="0"/>
          <w:numId w:val="23"/>
        </w:numPr>
        <w:spacing w:before="240" w:after="120" w:line="276" w:lineRule="auto"/>
        <w:jc w:val="both"/>
        <w:rPr>
          <w:rFonts w:ascii="Trebuchet MS" w:hAnsi="Trebuchet MS"/>
        </w:rPr>
      </w:pPr>
      <w:r w:rsidRPr="00C66011">
        <w:rPr>
          <w:rFonts w:ascii="Trebuchet MS" w:hAnsi="Trebuchet MS"/>
        </w:rPr>
        <w:t>největší povolená hmotnost v tunách a počet náprav.</w:t>
      </w:r>
    </w:p>
    <w:p w:rsidR="00DD28DA" w:rsidRPr="00C942A4" w:rsidRDefault="00C942A4" w:rsidP="00DD28DA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942A4">
        <w:rPr>
          <w:rFonts w:ascii="Trebuchet MS" w:hAnsi="Trebuchet MS"/>
          <w:b/>
        </w:rPr>
        <w:t>Správa daně</w:t>
      </w:r>
    </w:p>
    <w:p w:rsidR="00C942A4" w:rsidRDefault="00C942A4" w:rsidP="00C942A4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C942A4">
        <w:rPr>
          <w:rFonts w:ascii="Trebuchet MS" w:hAnsi="Trebuchet MS"/>
        </w:rPr>
        <w:t>oplatník</w:t>
      </w:r>
      <w:r w:rsidR="00955A7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je povinen</w:t>
      </w:r>
      <w:r w:rsidRPr="00C942A4">
        <w:rPr>
          <w:rFonts w:ascii="Trebuchet MS" w:hAnsi="Trebuchet MS"/>
        </w:rPr>
        <w:t xml:space="preserve"> registrovat vozidlo u svého správce</w:t>
      </w:r>
      <w:r>
        <w:rPr>
          <w:rFonts w:ascii="Trebuchet MS" w:hAnsi="Trebuchet MS"/>
        </w:rPr>
        <w:t xml:space="preserve"> daně (</w:t>
      </w:r>
      <w:r w:rsidRPr="00C942A4">
        <w:rPr>
          <w:rFonts w:ascii="Trebuchet MS" w:hAnsi="Trebuchet MS"/>
        </w:rPr>
        <w:t>finanční úřad určený dle bydliště nebo sídla poplatníka</w:t>
      </w:r>
      <w:r>
        <w:rPr>
          <w:rFonts w:ascii="Trebuchet MS" w:hAnsi="Trebuchet MS"/>
        </w:rPr>
        <w:t xml:space="preserve">). </w:t>
      </w:r>
    </w:p>
    <w:p w:rsidR="006A3BF4" w:rsidRDefault="006A3BF4" w:rsidP="006A3BF4">
      <w:pPr>
        <w:spacing w:before="240" w:after="120" w:line="276" w:lineRule="auto"/>
        <w:jc w:val="both"/>
        <w:rPr>
          <w:rFonts w:ascii="Trebuchet MS" w:hAnsi="Trebuchet MS"/>
        </w:rPr>
      </w:pPr>
      <w:r w:rsidRPr="006A3BF4">
        <w:rPr>
          <w:rFonts w:ascii="Trebuchet MS" w:hAnsi="Trebuchet MS"/>
        </w:rPr>
        <w:t>Zdaňovacím obdobím je</w:t>
      </w:r>
      <w:r>
        <w:rPr>
          <w:rFonts w:ascii="Trebuchet MS" w:hAnsi="Trebuchet MS"/>
        </w:rPr>
        <w:t xml:space="preserve"> </w:t>
      </w:r>
      <w:r w:rsidRPr="006A3BF4">
        <w:rPr>
          <w:rFonts w:ascii="Trebuchet MS" w:hAnsi="Trebuchet MS"/>
        </w:rPr>
        <w:t>kalendářní rok. Daňová povinnost vzniká prvním dnem měsíce, ve kterém se</w:t>
      </w:r>
      <w:r>
        <w:rPr>
          <w:rFonts w:ascii="Trebuchet MS" w:hAnsi="Trebuchet MS"/>
        </w:rPr>
        <w:t xml:space="preserve"> </w:t>
      </w:r>
      <w:r w:rsidRPr="006A3BF4">
        <w:rPr>
          <w:rFonts w:ascii="Trebuchet MS" w:hAnsi="Trebuchet MS"/>
        </w:rPr>
        <w:t>stalo vozidlo předmětem daně silniční</w:t>
      </w:r>
      <w:r>
        <w:rPr>
          <w:rFonts w:ascii="Trebuchet MS" w:hAnsi="Trebuchet MS"/>
        </w:rPr>
        <w:t xml:space="preserve">. </w:t>
      </w:r>
    </w:p>
    <w:p w:rsidR="006A3BF4" w:rsidRDefault="006A3BF4" w:rsidP="006A3BF4">
      <w:pPr>
        <w:spacing w:before="240" w:after="120" w:line="276" w:lineRule="auto"/>
        <w:jc w:val="both"/>
        <w:rPr>
          <w:rFonts w:ascii="Trebuchet MS" w:hAnsi="Trebuchet MS"/>
        </w:rPr>
      </w:pPr>
      <w:r w:rsidRPr="006A3BF4">
        <w:rPr>
          <w:rFonts w:ascii="Trebuchet MS" w:hAnsi="Trebuchet MS"/>
        </w:rPr>
        <w:t xml:space="preserve">Daňové přiznání je poplatník povinen podat do </w:t>
      </w:r>
      <w:r>
        <w:rPr>
          <w:rFonts w:ascii="Trebuchet MS" w:hAnsi="Trebuchet MS"/>
        </w:rPr>
        <w:t>31. ledna roku následujícího po </w:t>
      </w:r>
      <w:r w:rsidRPr="006A3BF4">
        <w:rPr>
          <w:rFonts w:ascii="Trebuchet MS" w:hAnsi="Trebuchet MS"/>
        </w:rPr>
        <w:t>uplynutí</w:t>
      </w:r>
      <w:r>
        <w:rPr>
          <w:rFonts w:ascii="Trebuchet MS" w:hAnsi="Trebuchet MS"/>
        </w:rPr>
        <w:t xml:space="preserve"> zdaňovacího období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d</w:t>
      </w:r>
      <w:r w:rsidRPr="006A3BF4">
        <w:rPr>
          <w:rFonts w:ascii="Trebuchet MS" w:hAnsi="Trebuchet MS"/>
        </w:rPr>
        <w:t>aň se platí zpětně.</w:t>
      </w:r>
    </w:p>
    <w:p w:rsidR="006A3BF4" w:rsidRDefault="0049550F" w:rsidP="0049550F">
      <w:pPr>
        <w:spacing w:before="240" w:after="120" w:line="276" w:lineRule="auto"/>
        <w:jc w:val="both"/>
        <w:rPr>
          <w:rFonts w:ascii="Trebuchet MS" w:hAnsi="Trebuchet MS"/>
        </w:rPr>
      </w:pPr>
      <w:r w:rsidRPr="0049550F">
        <w:rPr>
          <w:rFonts w:ascii="Trebuchet MS" w:hAnsi="Trebuchet MS"/>
        </w:rPr>
        <w:t xml:space="preserve">Do </w:t>
      </w:r>
      <w:r w:rsidR="00955A79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P uvede </w:t>
      </w:r>
      <w:r w:rsidRPr="0049550F">
        <w:rPr>
          <w:rFonts w:ascii="Trebuchet MS" w:hAnsi="Trebuchet MS"/>
        </w:rPr>
        <w:t xml:space="preserve">poplatník </w:t>
      </w:r>
      <w:r>
        <w:rPr>
          <w:rFonts w:ascii="Trebuchet MS" w:hAnsi="Trebuchet MS"/>
        </w:rPr>
        <w:t>také</w:t>
      </w:r>
      <w:r w:rsidRPr="0049550F">
        <w:rPr>
          <w:rFonts w:ascii="Trebuchet MS" w:hAnsi="Trebuchet MS"/>
        </w:rPr>
        <w:t xml:space="preserve"> vozidla, která jsou od daně osvobozena</w:t>
      </w:r>
      <w:r>
        <w:rPr>
          <w:rFonts w:ascii="Trebuchet MS" w:hAnsi="Trebuchet MS"/>
        </w:rPr>
        <w:t xml:space="preserve"> (s výjimkou </w:t>
      </w:r>
      <w:r w:rsidRPr="0049550F">
        <w:rPr>
          <w:rFonts w:ascii="Trebuchet MS" w:hAnsi="Trebuchet MS"/>
        </w:rPr>
        <w:t>vozid</w:t>
      </w:r>
      <w:r>
        <w:rPr>
          <w:rFonts w:ascii="Trebuchet MS" w:hAnsi="Trebuchet MS"/>
        </w:rPr>
        <w:t>e</w:t>
      </w:r>
      <w:r w:rsidRPr="0049550F">
        <w:rPr>
          <w:rFonts w:ascii="Trebuchet MS" w:hAnsi="Trebuchet MS"/>
        </w:rPr>
        <w:t>l kategorie L</w:t>
      </w:r>
      <w:r>
        <w:rPr>
          <w:rFonts w:ascii="Trebuchet MS" w:hAnsi="Trebuchet MS"/>
        </w:rPr>
        <w:t xml:space="preserve"> nebo </w:t>
      </w:r>
      <w:r w:rsidRPr="0049550F">
        <w:rPr>
          <w:rFonts w:ascii="Trebuchet MS" w:hAnsi="Trebuchet MS"/>
        </w:rPr>
        <w:t>vozid</w:t>
      </w:r>
      <w:r>
        <w:rPr>
          <w:rFonts w:ascii="Trebuchet MS" w:hAnsi="Trebuchet MS"/>
        </w:rPr>
        <w:t>e</w:t>
      </w:r>
      <w:r w:rsidRPr="0049550F">
        <w:rPr>
          <w:rFonts w:ascii="Trebuchet MS" w:hAnsi="Trebuchet MS"/>
        </w:rPr>
        <w:t>l diplomatických misí a konzulárních úřadů</w:t>
      </w:r>
      <w:r>
        <w:rPr>
          <w:rFonts w:ascii="Trebuchet MS" w:hAnsi="Trebuchet MS"/>
        </w:rPr>
        <w:t>)</w:t>
      </w:r>
      <w:r w:rsidRPr="0049550F">
        <w:rPr>
          <w:rFonts w:ascii="Trebuchet MS" w:hAnsi="Trebuchet MS"/>
        </w:rPr>
        <w:t>.</w:t>
      </w:r>
    </w:p>
    <w:p w:rsidR="00614833" w:rsidRPr="00614833" w:rsidRDefault="00614833" w:rsidP="00614833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Termíny pro zaplacení z</w:t>
      </w:r>
      <w:r w:rsidRPr="00614833">
        <w:rPr>
          <w:rFonts w:ascii="Trebuchet MS" w:hAnsi="Trebuchet MS"/>
        </w:rPr>
        <w:t xml:space="preserve">álohy </w:t>
      </w:r>
      <w:r>
        <w:rPr>
          <w:rFonts w:ascii="Trebuchet MS" w:hAnsi="Trebuchet MS"/>
        </w:rPr>
        <w:t xml:space="preserve">daně silniční </w:t>
      </w:r>
      <w:r w:rsidRPr="00614833">
        <w:rPr>
          <w:rFonts w:ascii="Trebuchet MS" w:hAnsi="Trebuchet MS"/>
        </w:rPr>
        <w:t>v roce 2013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4833" w:rsidRPr="00614833" w:rsidTr="00614833"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do 15. dubna 2013</w:t>
            </w:r>
          </w:p>
        </w:tc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za I. čtvrtletí roku 2013</w:t>
            </w:r>
          </w:p>
        </w:tc>
      </w:tr>
      <w:tr w:rsidR="00614833" w:rsidRPr="00614833" w:rsidTr="00614833"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do 15. července 2013</w:t>
            </w:r>
          </w:p>
        </w:tc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za II. čtvrtletí roku 2013</w:t>
            </w:r>
          </w:p>
        </w:tc>
      </w:tr>
      <w:tr w:rsidR="00614833" w:rsidRPr="00614833" w:rsidTr="00614833"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do 15. října 2013</w:t>
            </w:r>
          </w:p>
        </w:tc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za III. čtvrtletí roku 2013</w:t>
            </w:r>
          </w:p>
        </w:tc>
      </w:tr>
      <w:tr w:rsidR="00614833" w:rsidRPr="00614833" w:rsidTr="00614833"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do 16. prosince 2013</w:t>
            </w:r>
          </w:p>
        </w:tc>
        <w:tc>
          <w:tcPr>
            <w:tcW w:w="4606" w:type="dxa"/>
          </w:tcPr>
          <w:p w:rsidR="00614833" w:rsidRPr="00614833" w:rsidRDefault="00614833" w:rsidP="00B81EE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14833">
              <w:rPr>
                <w:rFonts w:ascii="Trebuchet MS" w:hAnsi="Trebuchet MS"/>
              </w:rPr>
              <w:t>za IV. čtvr</w:t>
            </w:r>
            <w:r w:rsidR="00955A79">
              <w:rPr>
                <w:rFonts w:ascii="Trebuchet MS" w:hAnsi="Trebuchet MS"/>
              </w:rPr>
              <w:t>t</w:t>
            </w:r>
            <w:r w:rsidRPr="00614833">
              <w:rPr>
                <w:rFonts w:ascii="Trebuchet MS" w:hAnsi="Trebuchet MS"/>
              </w:rPr>
              <w:t>letí roku 2013</w:t>
            </w:r>
          </w:p>
        </w:tc>
      </w:tr>
    </w:tbl>
    <w:p w:rsidR="00686269" w:rsidRDefault="00686269" w:rsidP="00686269">
      <w:pPr>
        <w:spacing w:before="240" w:after="120" w:line="276" w:lineRule="auto"/>
        <w:jc w:val="both"/>
        <w:rPr>
          <w:rFonts w:ascii="Trebuchet MS" w:hAnsi="Trebuchet MS"/>
        </w:rPr>
      </w:pPr>
      <w:r w:rsidRPr="00686269">
        <w:rPr>
          <w:rFonts w:ascii="Trebuchet MS" w:hAnsi="Trebuchet MS"/>
        </w:rPr>
        <w:t>Zálohy se vypočtou ve výši 1/12 roční sazby daně</w:t>
      </w:r>
      <w:r>
        <w:rPr>
          <w:rFonts w:ascii="Trebuchet MS" w:hAnsi="Trebuchet MS"/>
        </w:rPr>
        <w:t xml:space="preserve"> </w:t>
      </w:r>
      <w:r w:rsidRPr="00686269">
        <w:rPr>
          <w:rFonts w:ascii="Trebuchet MS" w:hAnsi="Trebuchet MS"/>
        </w:rPr>
        <w:t>za každý měsíc, ve kterém daňová povinnost vznikla, trvala nebo zanikla.</w:t>
      </w:r>
    </w:p>
    <w:p w:rsidR="00B52D0C" w:rsidRPr="00955A79" w:rsidRDefault="006F5AB5" w:rsidP="00955A79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955A79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9A61F7" w:rsidRDefault="009A61F7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A61F7">
        <w:rPr>
          <w:rFonts w:ascii="Trebuchet MS" w:hAnsi="Trebuchet MS"/>
        </w:rPr>
        <w:t>Jaké znáte ekologické aspekty silniční daně</w:t>
      </w:r>
      <w:r>
        <w:rPr>
          <w:rFonts w:ascii="Trebuchet MS" w:hAnsi="Trebuchet MS"/>
        </w:rPr>
        <w:t>?</w:t>
      </w:r>
    </w:p>
    <w:p w:rsidR="001357EB" w:rsidRDefault="00342636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</w:t>
      </w:r>
      <w:r w:rsidR="00EF7DAA">
        <w:rPr>
          <w:rFonts w:ascii="Trebuchet MS" w:hAnsi="Trebuchet MS"/>
        </w:rPr>
        <w:t>ete</w:t>
      </w:r>
      <w:bookmarkStart w:id="0" w:name="_GoBack"/>
      <w:bookmarkEnd w:id="0"/>
      <w:r>
        <w:rPr>
          <w:rFonts w:ascii="Trebuchet MS" w:hAnsi="Trebuchet MS"/>
        </w:rPr>
        <w:t>, co znamená "</w:t>
      </w:r>
      <w:r w:rsidR="00282D8D">
        <w:rPr>
          <w:rFonts w:ascii="Trebuchet MS" w:hAnsi="Trebuchet MS"/>
        </w:rPr>
        <w:t>podnikatelská činnost</w:t>
      </w:r>
      <w:r>
        <w:rPr>
          <w:rFonts w:ascii="Trebuchet MS" w:hAnsi="Trebuchet MS"/>
        </w:rPr>
        <w:t>"</w:t>
      </w:r>
      <w:r w:rsidR="00F87C95">
        <w:rPr>
          <w:rFonts w:ascii="Trebuchet MS" w:hAnsi="Trebuchet MS"/>
        </w:rPr>
        <w:t>.</w:t>
      </w:r>
      <w:r w:rsidR="00282D8D">
        <w:rPr>
          <w:rFonts w:ascii="Trebuchet MS" w:hAnsi="Trebuchet MS"/>
        </w:rPr>
        <w:t xml:space="preserve"> Který právní pramen ji definuje?</w:t>
      </w:r>
    </w:p>
    <w:p w:rsidR="002D1606" w:rsidRDefault="00371C09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Najděte příklad, kdy je provozovatelem vozidla </w:t>
      </w:r>
      <w:r w:rsidRPr="00371C09">
        <w:rPr>
          <w:rFonts w:ascii="Trebuchet MS" w:hAnsi="Trebuchet MS"/>
        </w:rPr>
        <w:t>osoba jiná než vlastník</w:t>
      </w:r>
      <w:r w:rsidR="002D1606">
        <w:rPr>
          <w:rFonts w:ascii="Trebuchet MS" w:hAnsi="Trebuchet MS"/>
        </w:rPr>
        <w:t>.</w:t>
      </w:r>
    </w:p>
    <w:p w:rsidR="00B52D0C" w:rsidRDefault="00D26DE4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2D1606">
        <w:rPr>
          <w:rFonts w:ascii="Trebuchet MS" w:hAnsi="Trebuchet MS"/>
        </w:rPr>
        <w:t xml:space="preserve">Nalezněte </w:t>
      </w:r>
      <w:r w:rsidR="003D043A">
        <w:rPr>
          <w:rFonts w:ascii="Trebuchet MS" w:hAnsi="Trebuchet MS"/>
        </w:rPr>
        <w:t>za pomoci internetu v zákoně o dani silniční, ve kterých případech se zvyšuje a kdy snižuje sazba daně.</w:t>
      </w:r>
    </w:p>
    <w:p w:rsidR="003D043A" w:rsidRDefault="00AB7B0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zákona o dani silniční doplňte tabulku</w:t>
      </w:r>
      <w:r w:rsidR="00926329">
        <w:rPr>
          <w:rFonts w:ascii="Trebuchet MS" w:hAnsi="Trebuchet MS"/>
        </w:rPr>
        <w:t xml:space="preserve"> pro osobní automobily</w:t>
      </w:r>
      <w:r>
        <w:rPr>
          <w:rFonts w:ascii="Trebuchet MS" w:hAnsi="Trebuchet MS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  <w:gridCol w:w="4458"/>
      </w:tblGrid>
      <w:tr w:rsidR="00AB7B00" w:rsidTr="00AB7B00">
        <w:tc>
          <w:tcPr>
            <w:tcW w:w="4606" w:type="dxa"/>
            <w:vAlign w:val="center"/>
          </w:tcPr>
          <w:p w:rsidR="00AB7B00" w:rsidRDefault="00AB7B00" w:rsidP="00AB7B0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AB7B00">
              <w:rPr>
                <w:rFonts w:ascii="Trebuchet MS" w:hAnsi="Trebuchet MS"/>
              </w:rPr>
              <w:t>Zdvihový objem motoru</w:t>
            </w:r>
          </w:p>
        </w:tc>
        <w:tc>
          <w:tcPr>
            <w:tcW w:w="4606" w:type="dxa"/>
            <w:vAlign w:val="center"/>
          </w:tcPr>
          <w:p w:rsidR="00AB7B00" w:rsidRDefault="00AB7B00" w:rsidP="00AB7B0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Sazba daně</w:t>
            </w: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B7B00" w:rsidTr="00AB7B00"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AB7B00" w:rsidRDefault="00AB7B00" w:rsidP="00AB7B00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AB7B00" w:rsidRDefault="00AB7B00" w:rsidP="00AB7B00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AB7B00" w:rsidRDefault="00AB7B0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 Podnikavý má v evidenci majetku (majetek zakoupil pro podnikání v roce 2011) nákladní automobil se 2 nápravami o nosnosti 16 t. Spočítejte daňovou povinnost a stanovte výši záloh daně silniční pro rok 2013</w:t>
      </w:r>
      <w:r w:rsidR="00926329">
        <w:rPr>
          <w:rFonts w:ascii="Trebuchet MS" w:hAnsi="Trebuchet MS"/>
        </w:rPr>
        <w:t>.</w:t>
      </w:r>
    </w:p>
    <w:p w:rsidR="00926329" w:rsidRPr="002D1606" w:rsidRDefault="008F4218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Paní Pečlivá používá pro podnikání osobní automobil se zdvihovým objemem motoru 2 000 ccm. Vypočítejte její daňovou povinnost a stanovte výši záloh pro rok 2013.</w:t>
      </w:r>
    </w:p>
    <w:p w:rsidR="000E7DAA" w:rsidRDefault="000E7DAA"/>
    <w:sectPr w:rsidR="000E7DA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6" w:rsidRDefault="00756AF6" w:rsidP="003A7C4B">
      <w:r>
        <w:separator/>
      </w:r>
    </w:p>
  </w:endnote>
  <w:endnote w:type="continuationSeparator" w:id="0">
    <w:p w:rsidR="00756AF6" w:rsidRDefault="00756AF6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232A19">
      <w:rPr>
        <w:rFonts w:ascii="Trebuchet MS" w:hAnsi="Trebuchet MS"/>
      </w:rPr>
      <w:t>_</w:t>
    </w:r>
    <w:r w:rsidR="00B07638">
      <w:rPr>
        <w:rFonts w:ascii="Trebuchet MS" w:hAnsi="Trebuchet MS"/>
      </w:rPr>
      <w:t>18</w:t>
    </w:r>
    <w:r w:rsidRPr="00966D23">
      <w:rPr>
        <w:rFonts w:ascii="Trebuchet MS" w:hAnsi="Trebuchet MS"/>
      </w:rPr>
      <w:t xml:space="preserve">                         </w:t>
    </w:r>
    <w:r w:rsidR="006A223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A223D" w:rsidRPr="00966D23">
      <w:rPr>
        <w:rFonts w:ascii="Trebuchet MS" w:hAnsi="Trebuchet MS"/>
      </w:rPr>
      <w:fldChar w:fldCharType="separate"/>
    </w:r>
    <w:r w:rsidR="00EF7DAA">
      <w:rPr>
        <w:rFonts w:ascii="Trebuchet MS" w:hAnsi="Trebuchet MS"/>
        <w:noProof/>
      </w:rPr>
      <w:t>5</w:t>
    </w:r>
    <w:r w:rsidR="006A223D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F6" w:rsidRDefault="00756AF6" w:rsidP="003A7C4B">
      <w:r>
        <w:separator/>
      </w:r>
    </w:p>
  </w:footnote>
  <w:footnote w:type="continuationSeparator" w:id="0">
    <w:p w:rsidR="00756AF6" w:rsidRDefault="00756AF6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EF7DA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928"/>
    <w:multiLevelType w:val="hybridMultilevel"/>
    <w:tmpl w:val="88DCC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0957"/>
    <w:multiLevelType w:val="hybridMultilevel"/>
    <w:tmpl w:val="E3421E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EEC"/>
    <w:multiLevelType w:val="hybridMultilevel"/>
    <w:tmpl w:val="56F67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DB1"/>
    <w:multiLevelType w:val="hybridMultilevel"/>
    <w:tmpl w:val="F2F0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4FF"/>
    <w:multiLevelType w:val="hybridMultilevel"/>
    <w:tmpl w:val="74A07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6B58"/>
    <w:multiLevelType w:val="hybridMultilevel"/>
    <w:tmpl w:val="D7CADD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3E5A"/>
    <w:multiLevelType w:val="hybridMultilevel"/>
    <w:tmpl w:val="A1CED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A75F02"/>
    <w:multiLevelType w:val="hybridMultilevel"/>
    <w:tmpl w:val="39B2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1507"/>
    <w:multiLevelType w:val="hybridMultilevel"/>
    <w:tmpl w:val="74C2D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53F1EF2"/>
    <w:multiLevelType w:val="hybridMultilevel"/>
    <w:tmpl w:val="D71CFC9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102E"/>
    <w:multiLevelType w:val="hybridMultilevel"/>
    <w:tmpl w:val="B6AED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50674"/>
    <w:multiLevelType w:val="hybridMultilevel"/>
    <w:tmpl w:val="66A2BB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17"/>
  </w:num>
  <w:num w:numId="10">
    <w:abstractNumId w:val="21"/>
  </w:num>
  <w:num w:numId="11">
    <w:abstractNumId w:val="22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6"/>
  </w:num>
  <w:num w:numId="18">
    <w:abstractNumId w:val="3"/>
  </w:num>
  <w:num w:numId="19">
    <w:abstractNumId w:val="11"/>
  </w:num>
  <w:num w:numId="20">
    <w:abstractNumId w:val="19"/>
  </w:num>
  <w:num w:numId="21">
    <w:abstractNumId w:val="12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7C69"/>
    <w:rsid w:val="000209D0"/>
    <w:rsid w:val="000210F6"/>
    <w:rsid w:val="00024DE2"/>
    <w:rsid w:val="000436CD"/>
    <w:rsid w:val="0007750F"/>
    <w:rsid w:val="000A528D"/>
    <w:rsid w:val="000B1987"/>
    <w:rsid w:val="000E7DAA"/>
    <w:rsid w:val="00105189"/>
    <w:rsid w:val="001072BF"/>
    <w:rsid w:val="00130348"/>
    <w:rsid w:val="001357EB"/>
    <w:rsid w:val="00174336"/>
    <w:rsid w:val="001815C6"/>
    <w:rsid w:val="001857B4"/>
    <w:rsid w:val="00190BCD"/>
    <w:rsid w:val="001A2350"/>
    <w:rsid w:val="001D3546"/>
    <w:rsid w:val="002240A9"/>
    <w:rsid w:val="00224D47"/>
    <w:rsid w:val="00232A19"/>
    <w:rsid w:val="00244CB1"/>
    <w:rsid w:val="00282D8D"/>
    <w:rsid w:val="00284B1F"/>
    <w:rsid w:val="002C50A8"/>
    <w:rsid w:val="002D1606"/>
    <w:rsid w:val="002F4E83"/>
    <w:rsid w:val="00312733"/>
    <w:rsid w:val="003342E2"/>
    <w:rsid w:val="00342636"/>
    <w:rsid w:val="003505A8"/>
    <w:rsid w:val="00355F08"/>
    <w:rsid w:val="00371C09"/>
    <w:rsid w:val="003A7C4B"/>
    <w:rsid w:val="003D043A"/>
    <w:rsid w:val="004064D5"/>
    <w:rsid w:val="00424F8E"/>
    <w:rsid w:val="00450921"/>
    <w:rsid w:val="00472560"/>
    <w:rsid w:val="004879F4"/>
    <w:rsid w:val="0049550F"/>
    <w:rsid w:val="00495AD7"/>
    <w:rsid w:val="00503132"/>
    <w:rsid w:val="00522310"/>
    <w:rsid w:val="00546914"/>
    <w:rsid w:val="005549F2"/>
    <w:rsid w:val="00581217"/>
    <w:rsid w:val="005C1C6B"/>
    <w:rsid w:val="005F71D4"/>
    <w:rsid w:val="00605030"/>
    <w:rsid w:val="00614833"/>
    <w:rsid w:val="00625E7A"/>
    <w:rsid w:val="0066334A"/>
    <w:rsid w:val="00686269"/>
    <w:rsid w:val="00687E5A"/>
    <w:rsid w:val="006A223D"/>
    <w:rsid w:val="006A29AB"/>
    <w:rsid w:val="006A3BF4"/>
    <w:rsid w:val="006A5286"/>
    <w:rsid w:val="006F5AB5"/>
    <w:rsid w:val="00700C33"/>
    <w:rsid w:val="00725210"/>
    <w:rsid w:val="00742D9A"/>
    <w:rsid w:val="00752640"/>
    <w:rsid w:val="00756AF6"/>
    <w:rsid w:val="007B4003"/>
    <w:rsid w:val="007E4EDD"/>
    <w:rsid w:val="00845A53"/>
    <w:rsid w:val="00873181"/>
    <w:rsid w:val="00896EE8"/>
    <w:rsid w:val="008A02C9"/>
    <w:rsid w:val="008C64EE"/>
    <w:rsid w:val="008D1AB9"/>
    <w:rsid w:val="008D5327"/>
    <w:rsid w:val="008E3E53"/>
    <w:rsid w:val="008E53AF"/>
    <w:rsid w:val="008F4218"/>
    <w:rsid w:val="009075D5"/>
    <w:rsid w:val="00926329"/>
    <w:rsid w:val="00955A79"/>
    <w:rsid w:val="00957F84"/>
    <w:rsid w:val="00971E7E"/>
    <w:rsid w:val="00992CEC"/>
    <w:rsid w:val="009A61F7"/>
    <w:rsid w:val="009D4AFC"/>
    <w:rsid w:val="009E22EE"/>
    <w:rsid w:val="00A02F8F"/>
    <w:rsid w:val="00A0539D"/>
    <w:rsid w:val="00A05844"/>
    <w:rsid w:val="00A2373E"/>
    <w:rsid w:val="00A5599E"/>
    <w:rsid w:val="00A827D7"/>
    <w:rsid w:val="00A96025"/>
    <w:rsid w:val="00AA234C"/>
    <w:rsid w:val="00AB7B00"/>
    <w:rsid w:val="00AE776A"/>
    <w:rsid w:val="00AF0114"/>
    <w:rsid w:val="00B04EE3"/>
    <w:rsid w:val="00B07638"/>
    <w:rsid w:val="00B25CF3"/>
    <w:rsid w:val="00B320CE"/>
    <w:rsid w:val="00B52D0C"/>
    <w:rsid w:val="00B8027D"/>
    <w:rsid w:val="00B93EC3"/>
    <w:rsid w:val="00B94346"/>
    <w:rsid w:val="00BA5BF8"/>
    <w:rsid w:val="00BC40CF"/>
    <w:rsid w:val="00BE4127"/>
    <w:rsid w:val="00C316E4"/>
    <w:rsid w:val="00C66011"/>
    <w:rsid w:val="00C942A4"/>
    <w:rsid w:val="00CB27CB"/>
    <w:rsid w:val="00CC2531"/>
    <w:rsid w:val="00CE5435"/>
    <w:rsid w:val="00CF06F7"/>
    <w:rsid w:val="00D26042"/>
    <w:rsid w:val="00D26DE4"/>
    <w:rsid w:val="00D64EFA"/>
    <w:rsid w:val="00D870E1"/>
    <w:rsid w:val="00DD28DA"/>
    <w:rsid w:val="00E5202E"/>
    <w:rsid w:val="00E54712"/>
    <w:rsid w:val="00E86CF0"/>
    <w:rsid w:val="00EA7373"/>
    <w:rsid w:val="00EB432B"/>
    <w:rsid w:val="00ED3BE6"/>
    <w:rsid w:val="00EF7DAA"/>
    <w:rsid w:val="00F275E2"/>
    <w:rsid w:val="00F5513C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8C03BC-1D52-4296-A5BD-EADDEA5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1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50</cp:revision>
  <dcterms:created xsi:type="dcterms:W3CDTF">2013-12-07T09:28:00Z</dcterms:created>
  <dcterms:modified xsi:type="dcterms:W3CDTF">2014-01-29T17:42:00Z</dcterms:modified>
</cp:coreProperties>
</file>