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39" w:rsidRPr="00394911" w:rsidRDefault="00467039" w:rsidP="00394911">
      <w:pPr>
        <w:jc w:val="center"/>
        <w:rPr>
          <w:rFonts w:ascii="Trebuchet MS" w:hAnsi="Trebuchet MS"/>
          <w:b/>
          <w:sz w:val="28"/>
          <w:szCs w:val="28"/>
          <w:lang w:eastAsia="cs-CZ"/>
        </w:rPr>
      </w:pPr>
      <w:r>
        <w:rPr>
          <w:rFonts w:ascii="Trebuchet MS" w:hAnsi="Trebuchet MS"/>
          <w:b/>
          <w:sz w:val="28"/>
          <w:szCs w:val="28"/>
          <w:lang w:eastAsia="cs-CZ"/>
        </w:rPr>
        <w:t>„</w:t>
      </w:r>
      <w:r w:rsidRPr="00394911">
        <w:rPr>
          <w:rFonts w:ascii="Trebuchet MS" w:hAnsi="Trebuchet MS"/>
          <w:b/>
          <w:sz w:val="28"/>
          <w:szCs w:val="28"/>
          <w:lang w:eastAsia="cs-CZ"/>
        </w:rPr>
        <w:t>EU peníze školám“</w:t>
      </w:r>
    </w:p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Projekt DIGIT – digitalizace výuky na ISŠTE Sokolov</w:t>
      </w:r>
    </w:p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  <w:r w:rsidRPr="00394911">
        <w:rPr>
          <w:rFonts w:ascii="Trebuchet MS" w:hAnsi="Trebuchet MS"/>
          <w:b/>
          <w:sz w:val="28"/>
          <w:szCs w:val="28"/>
          <w:lang w:eastAsia="cs-CZ"/>
        </w:rPr>
        <w:t>reg.č. CZ.1.07/1.5.00/34.0496</w:t>
      </w:r>
    </w:p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67039" w:rsidRPr="00FA53E8" w:rsidRDefault="00467039" w:rsidP="00394911">
      <w:pPr>
        <w:spacing w:after="0" w:line="240" w:lineRule="auto"/>
        <w:jc w:val="center"/>
        <w:rPr>
          <w:rFonts w:ascii="Albertus MT" w:hAnsi="Albertus MT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VY_32_INOVACE_9_1_</w:t>
            </w: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0</w:t>
            </w: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9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Druhy litin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Te</w:t>
            </w: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>
              <w:rPr>
                <w:rFonts w:ascii="Trebuchet MS" w:hAnsi="Trebuchet MS"/>
                <w:sz w:val="24"/>
                <w:szCs w:val="24"/>
                <w:lang w:eastAsia="cs-CZ"/>
              </w:rPr>
              <w:t>Kovové a nekovové materiály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23-51-H/01 Strojní mechanik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Strojírenské materiály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1. 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numPr>
                <w:ilvl w:val="0"/>
                <w:numId w:val="33"/>
              </w:num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vyučovací hodina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2C3F68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LEINVEBER, J. VÁVRA, P.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Praha: ALBRA, 2005. ISBN 80-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br/>
              <w:t>-</w:t>
            </w: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7361-011-6</w:t>
            </w:r>
          </w:p>
          <w:p w:rsidR="00467039" w:rsidRPr="008C5F01" w:rsidRDefault="00467039" w:rsidP="002C3F68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PLUHAŘ, J A KOLEKTIV.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Nauka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br/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o materiálech.</w:t>
            </w: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Praha: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rebuchet MS" w:hAnsi="Trebuchet MS"/>
                <w:sz w:val="24"/>
                <w:szCs w:val="24"/>
                <w:lang w:eastAsia="cs-CZ"/>
              </w:rPr>
              <w:t>SNTL, 1989</w:t>
            </w: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 </w:t>
            </w:r>
          </w:p>
          <w:p w:rsidR="00467039" w:rsidRPr="008C5F01" w:rsidRDefault="00467039" w:rsidP="002C3F68">
            <w:pPr>
              <w:spacing w:after="0" w:line="240" w:lineRule="auto"/>
              <w:jc w:val="both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 xml:space="preserve">HLUCHÝ, M. KOLOUCH, J.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Strojírenská technologie1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-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>1.</w:t>
            </w:r>
            <w:r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 </w:t>
            </w:r>
            <w:r w:rsidRPr="008C5F01">
              <w:rPr>
                <w:rFonts w:ascii="Trebuchet MS" w:hAnsi="Trebuchet MS"/>
                <w:i/>
                <w:sz w:val="24"/>
                <w:szCs w:val="24"/>
                <w:lang w:eastAsia="cs-CZ"/>
              </w:rPr>
              <w:t xml:space="preserve">díl Nauka o materiálu. </w:t>
            </w: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Brno: CENTA, 1996. ISBN 80-7183-017-8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Druhy litin, jejich výroba, chemické složení a využití v praxi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Výklad, ověřovací pracovní list, zkušební test</w:t>
            </w:r>
          </w:p>
        </w:tc>
      </w:tr>
      <w:tr w:rsidR="00467039" w:rsidRPr="00FA53E8" w:rsidTr="008C5F01">
        <w:trPr>
          <w:trHeight w:val="960"/>
        </w:trPr>
        <w:tc>
          <w:tcPr>
            <w:tcW w:w="4606" w:type="dxa"/>
            <w:vAlign w:val="center"/>
          </w:tcPr>
          <w:p w:rsidR="00467039" w:rsidRPr="00FA53E8" w:rsidRDefault="00467039" w:rsidP="008C5F0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  <w:lang w:eastAsia="cs-CZ"/>
              </w:rPr>
            </w:pPr>
            <w:r w:rsidRPr="00FA53E8">
              <w:rPr>
                <w:rFonts w:ascii="Trebuchet MS" w:hAnsi="Trebuchet MS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67039" w:rsidRPr="008C5F01" w:rsidRDefault="00467039" w:rsidP="008C5F01">
            <w:pPr>
              <w:spacing w:after="0" w:line="240" w:lineRule="auto"/>
              <w:rPr>
                <w:rFonts w:ascii="Trebuchet MS" w:hAnsi="Trebuchet MS"/>
                <w:sz w:val="24"/>
                <w:szCs w:val="24"/>
                <w:lang w:eastAsia="cs-CZ"/>
              </w:rPr>
            </w:pPr>
            <w:r w:rsidRPr="008C5F01">
              <w:rPr>
                <w:rFonts w:ascii="Trebuchet MS" w:hAnsi="Trebuchet MS"/>
                <w:sz w:val="24"/>
                <w:szCs w:val="24"/>
                <w:lang w:eastAsia="cs-CZ"/>
              </w:rPr>
              <w:t>Září 2012</w:t>
            </w:r>
          </w:p>
        </w:tc>
      </w:tr>
    </w:tbl>
    <w:p w:rsidR="00467039" w:rsidRPr="00394911" w:rsidRDefault="00467039" w:rsidP="00394911">
      <w:pPr>
        <w:spacing w:after="0" w:line="240" w:lineRule="auto"/>
        <w:jc w:val="center"/>
        <w:rPr>
          <w:rFonts w:ascii="Trebuchet MS" w:hAnsi="Trebuchet MS"/>
          <w:b/>
          <w:sz w:val="28"/>
          <w:szCs w:val="28"/>
          <w:lang w:eastAsia="cs-CZ"/>
        </w:rPr>
      </w:pPr>
    </w:p>
    <w:p w:rsidR="00467039" w:rsidRPr="00394911" w:rsidRDefault="00467039" w:rsidP="00394911">
      <w:pPr>
        <w:spacing w:after="0" w:line="240" w:lineRule="auto"/>
        <w:rPr>
          <w:rFonts w:ascii="Trebuchet MS" w:hAnsi="Trebuchet MS"/>
          <w:i/>
          <w:sz w:val="20"/>
          <w:szCs w:val="20"/>
          <w:lang w:eastAsia="cs-CZ"/>
        </w:rPr>
      </w:pPr>
      <w:r w:rsidRPr="00394911">
        <w:rPr>
          <w:rFonts w:ascii="Trebuchet MS" w:hAnsi="Trebuchet MS"/>
          <w:i/>
          <w:sz w:val="20"/>
          <w:szCs w:val="20"/>
          <w:lang w:eastAsia="cs-CZ"/>
        </w:rPr>
        <w:t xml:space="preserve">Tento výukový materiál je plně </w:t>
      </w:r>
      <w:r>
        <w:rPr>
          <w:rFonts w:ascii="Trebuchet MS" w:hAnsi="Trebuchet MS"/>
          <w:i/>
          <w:sz w:val="20"/>
          <w:szCs w:val="20"/>
          <w:lang w:eastAsia="cs-CZ"/>
        </w:rPr>
        <w:t>v souladu s Autorským zákonem (</w:t>
      </w:r>
      <w:r w:rsidRPr="00394911">
        <w:rPr>
          <w:rFonts w:ascii="Trebuchet MS" w:hAnsi="Trebuchet MS"/>
          <w:i/>
          <w:sz w:val="20"/>
          <w:szCs w:val="20"/>
          <w:lang w:eastAsia="cs-CZ"/>
        </w:rPr>
        <w:t>jsou zde dodržována všechna autorská práva).</w:t>
      </w:r>
    </w:p>
    <w:p w:rsidR="009060C6" w:rsidRDefault="009060C6" w:rsidP="009060C6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9060C6" w:rsidRDefault="009060C6" w:rsidP="009060C6">
      <w:pPr>
        <w:jc w:val="center"/>
        <w:rPr>
          <w:rFonts w:ascii="Trebuchet MS" w:hAnsi="Trebuchet MS"/>
          <w:b/>
          <w:sz w:val="28"/>
          <w:szCs w:val="28"/>
        </w:rPr>
      </w:pPr>
    </w:p>
    <w:p w:rsidR="00467039" w:rsidRDefault="00467039" w:rsidP="00282D09">
      <w:pPr>
        <w:jc w:val="center"/>
        <w:rPr>
          <w:rFonts w:ascii="Trebuchet MS" w:hAnsi="Trebuchet MS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hAnsi="Trebuchet MS"/>
          <w:sz w:val="20"/>
          <w:szCs w:val="20"/>
          <w:lang w:eastAsia="cs-CZ"/>
        </w:rPr>
        <w:br w:type="page"/>
      </w:r>
    </w:p>
    <w:p w:rsidR="00467039" w:rsidRDefault="00467039" w:rsidP="00933C76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Druhy litin</w:t>
      </w:r>
    </w:p>
    <w:p w:rsidR="00467039" w:rsidRPr="00E167C2" w:rsidRDefault="00467039" w:rsidP="00933C76">
      <w:pPr>
        <w:autoSpaceDE w:val="0"/>
        <w:autoSpaceDN w:val="0"/>
        <w:adjustRightInd w:val="0"/>
        <w:spacing w:after="0"/>
        <w:jc w:val="both"/>
        <w:rPr>
          <w:rFonts w:ascii="Trebuchet MS" w:hAnsi="Trebuchet MS" w:cs="TimesNewRoman"/>
          <w:sz w:val="24"/>
          <w:szCs w:val="24"/>
        </w:rPr>
      </w:pPr>
      <w:r w:rsidRPr="00E167C2">
        <w:rPr>
          <w:rFonts w:ascii="Trebuchet MS" w:hAnsi="Trebuchet MS" w:cs="TimesNewRoman"/>
          <w:sz w:val="24"/>
          <w:szCs w:val="24"/>
        </w:rPr>
        <w:t>Litiny grafitické patří k nejstarším a nejpoužívanějším konstrukčním mat</w:t>
      </w:r>
      <w:r>
        <w:rPr>
          <w:rFonts w:ascii="Trebuchet MS" w:hAnsi="Trebuchet MS" w:cs="TimesNewRoman"/>
          <w:sz w:val="24"/>
          <w:szCs w:val="24"/>
        </w:rPr>
        <w:t xml:space="preserve">eriálům. Mají buď veškerý uhlík, </w:t>
      </w:r>
      <w:r w:rsidRPr="00E167C2">
        <w:rPr>
          <w:rFonts w:ascii="Trebuchet MS" w:hAnsi="Trebuchet MS" w:cs="TimesNewRoman"/>
          <w:sz w:val="24"/>
          <w:szCs w:val="24"/>
        </w:rPr>
        <w:t>nebo jeho většinu vyloučenou ve formě grafitu, neobsahují cementit.</w:t>
      </w:r>
      <w:r>
        <w:rPr>
          <w:rFonts w:ascii="Trebuchet MS" w:hAnsi="Trebuchet MS" w:cs="TimesNewRoman"/>
          <w:sz w:val="24"/>
          <w:szCs w:val="24"/>
        </w:rPr>
        <w:t xml:space="preserve"> </w:t>
      </w:r>
      <w:r w:rsidRPr="00E167C2">
        <w:rPr>
          <w:rFonts w:ascii="Trebuchet MS" w:hAnsi="Trebuchet MS" w:cs="TimesNewRoman"/>
          <w:sz w:val="24"/>
          <w:szCs w:val="24"/>
        </w:rPr>
        <w:t>Mají výborné slévárenské vlastnosti a velmi dobré vlastnosti chemické</w:t>
      </w:r>
      <w:r>
        <w:rPr>
          <w:rFonts w:ascii="Trebuchet MS" w:hAnsi="Trebuchet MS" w:cs="TimesNewRoman"/>
          <w:sz w:val="24"/>
          <w:szCs w:val="24"/>
        </w:rPr>
        <w:br/>
        <w:t>i</w:t>
      </w:r>
      <w:r w:rsidRPr="00E167C2">
        <w:rPr>
          <w:rFonts w:ascii="Trebuchet MS" w:hAnsi="Trebuchet MS" w:cs="TimesNewRoman"/>
          <w:sz w:val="24"/>
          <w:szCs w:val="24"/>
        </w:rPr>
        <w:t xml:space="preserve"> mechanické.</w:t>
      </w:r>
    </w:p>
    <w:p w:rsidR="00467039" w:rsidRPr="00E167C2" w:rsidRDefault="00467039" w:rsidP="00933C76">
      <w:pPr>
        <w:pStyle w:val="Normlnweb"/>
        <w:spacing w:line="276" w:lineRule="auto"/>
        <w:jc w:val="both"/>
        <w:rPr>
          <w:rFonts w:ascii="Trebuchet MS" w:hAnsi="Trebuchet MS"/>
        </w:rPr>
      </w:pPr>
      <w:r w:rsidRPr="00E167C2">
        <w:rPr>
          <w:rFonts w:ascii="Trebuchet MS" w:hAnsi="Trebuchet MS"/>
          <w:b/>
          <w:color w:val="548DD4"/>
        </w:rPr>
        <w:t>Litiny s lupínkovým grafitem – šedé litiny 42 24XX-</w:t>
      </w:r>
      <w:r w:rsidRPr="00E167C2">
        <w:rPr>
          <w:rFonts w:ascii="Trebuchet MS" w:hAnsi="Trebuchet MS"/>
        </w:rPr>
        <w:t xml:space="preserve"> struktura šedých litin obsahuje 2,5 až 3,5 % uhlíku, do 3,5 % křemíku, 0,4 až 0,8 % manganu, 0,2 až 1,2 % fosforu a 0,08 až 0,12 % síry. Grafit je ve struktuře vyloučen jako lupínkový (lamelární). Tvar a poloha vyloučeného grafitu mají vliv na vznik vnitřního napětí, čím jsou lupínky delší, tím vyšší je </w:t>
      </w:r>
      <w:r>
        <w:rPr>
          <w:rFonts w:ascii="Trebuchet MS" w:hAnsi="Trebuchet MS"/>
        </w:rPr>
        <w:t>koncentrace vnitřního napětí, což</w:t>
      </w:r>
      <w:r w:rsidRPr="00E167C2">
        <w:rPr>
          <w:rFonts w:ascii="Trebuchet MS" w:hAnsi="Trebuchet MS"/>
        </w:rPr>
        <w:t xml:space="preserve"> vede ke snížení pevnosti a tažnosti materiálu. Proto má šedá litina poměrně malou pevnost v tahu 100 až 350 MPa, ale 3</w:t>
      </w:r>
      <w:r>
        <w:rPr>
          <w:rFonts w:ascii="Trebuchet MS" w:hAnsi="Trebuchet MS"/>
        </w:rPr>
        <w:t xml:space="preserve"> x až 4 x vyšší pevnost v tlaku. </w:t>
      </w:r>
      <w:r w:rsidRPr="00E167C2">
        <w:rPr>
          <w:rFonts w:ascii="Trebuchet MS" w:hAnsi="Trebuchet MS"/>
        </w:rPr>
        <w:t>Kromě grafitu mají šedé litiny kovovou matrici, která obsahuje ferit, perlit nebo jejich směs.</w:t>
      </w:r>
    </w:p>
    <w:p w:rsidR="00467039" w:rsidRPr="00E167C2" w:rsidRDefault="00467039" w:rsidP="00933C76">
      <w:pPr>
        <w:pStyle w:val="Normlnweb"/>
        <w:spacing w:line="276" w:lineRule="auto"/>
        <w:jc w:val="both"/>
        <w:rPr>
          <w:rFonts w:ascii="Trebuchet MS" w:hAnsi="Trebuchet MS"/>
        </w:rPr>
      </w:pPr>
      <w:r w:rsidRPr="00E167C2">
        <w:rPr>
          <w:rFonts w:ascii="Trebuchet MS" w:hAnsi="Trebuchet MS"/>
        </w:rPr>
        <w:t>Lupínky grafitu se projevují ve struktuře i pozitivně zvýšením schopnosti útlumu, které vede ke snížení citlivosti na vruby. Skutečnost, že grafit je</w:t>
      </w:r>
      <w:r>
        <w:rPr>
          <w:rFonts w:ascii="Trebuchet MS" w:hAnsi="Trebuchet MS"/>
        </w:rPr>
        <w:t xml:space="preserve"> téměř spojitý rozvětvený útvar</w:t>
      </w:r>
      <w:r w:rsidRPr="00E167C2">
        <w:rPr>
          <w:rFonts w:ascii="Trebuchet MS" w:hAnsi="Trebuchet MS"/>
        </w:rPr>
        <w:t xml:space="preserve"> se projevuje příznivými slévárenskými vlastnostmi, které jsou s ohlede</w:t>
      </w:r>
      <w:r>
        <w:rPr>
          <w:rFonts w:ascii="Trebuchet MS" w:hAnsi="Trebuchet MS"/>
        </w:rPr>
        <w:t>m na vynikající zabíhavost  a  malé smršťování</w:t>
      </w:r>
      <w:r w:rsidRPr="00E167C2">
        <w:rPr>
          <w:rFonts w:ascii="Trebuchet MS" w:hAnsi="Trebuchet MS"/>
        </w:rPr>
        <w:t xml:space="preserve"> nejlepší z grafitických litin. Šedá litina má v porovnání s ocelí výbornou tepelnou vodivost. </w:t>
      </w:r>
    </w:p>
    <w:p w:rsidR="00467039" w:rsidRPr="00E167C2" w:rsidRDefault="00467039" w:rsidP="00933C76">
      <w:pPr>
        <w:pStyle w:val="Normlnweb"/>
        <w:spacing w:line="276" w:lineRule="auto"/>
        <w:jc w:val="both"/>
        <w:rPr>
          <w:rFonts w:ascii="Trebuchet MS" w:hAnsi="Trebuchet MS"/>
        </w:rPr>
      </w:pPr>
      <w:r w:rsidRPr="00E167C2">
        <w:rPr>
          <w:rFonts w:ascii="Trebuchet MS" w:hAnsi="Trebuchet MS"/>
        </w:rPr>
        <w:t xml:space="preserve">Nelegované šedé litiny se používají pro výrobu ozubených kol, rámů obráběcích strojů, skříní rozvaděčů, součástí kamen, součástí motorů, turbín, ložisek </w:t>
      </w:r>
      <w:r>
        <w:rPr>
          <w:rFonts w:ascii="Trebuchet MS" w:hAnsi="Trebuchet MS"/>
        </w:rPr>
        <w:br/>
      </w:r>
      <w:r w:rsidRPr="00E167C2">
        <w:rPr>
          <w:rFonts w:ascii="Trebuchet MS" w:hAnsi="Trebuchet MS"/>
        </w:rPr>
        <w:t>a řemenic. Šedé litiny legované a zvláštní sli</w:t>
      </w:r>
      <w:r>
        <w:rPr>
          <w:rFonts w:ascii="Trebuchet MS" w:hAnsi="Trebuchet MS"/>
        </w:rPr>
        <w:t>tiny železa na odlitky jsou žáru</w:t>
      </w:r>
      <w:r w:rsidRPr="00E167C2">
        <w:rPr>
          <w:rFonts w:ascii="Trebuchet MS" w:hAnsi="Trebuchet MS"/>
        </w:rPr>
        <w:t xml:space="preserve">vzdorné a odolávají teplotám až </w:t>
      </w:r>
      <w:smartTag w:uri="urn:schemas-microsoft-com:office:smarttags" w:element="metricconverter">
        <w:smartTagPr>
          <w:attr w:name="ProductID" w:val="800 °C"/>
        </w:smartTagPr>
        <w:r w:rsidRPr="00E167C2">
          <w:rPr>
            <w:rFonts w:ascii="Trebuchet MS" w:hAnsi="Trebuchet MS"/>
          </w:rPr>
          <w:t>800 °C</w:t>
        </w:r>
      </w:smartTag>
      <w:r w:rsidRPr="00E167C2">
        <w:rPr>
          <w:rFonts w:ascii="Trebuchet MS" w:hAnsi="Trebuchet MS"/>
        </w:rPr>
        <w:t xml:space="preserve">, používají se na výrobu roštnic, sázecích otvorů pecí, kokil. </w:t>
      </w:r>
    </w:p>
    <w:p w:rsidR="00467039" w:rsidRPr="00E167C2" w:rsidRDefault="00467039" w:rsidP="00933C76">
      <w:pPr>
        <w:jc w:val="both"/>
        <w:rPr>
          <w:rFonts w:ascii="Trebuchet MS" w:hAnsi="Trebuchet MS"/>
          <w:sz w:val="24"/>
          <w:szCs w:val="24"/>
        </w:rPr>
      </w:pPr>
      <w:r w:rsidRPr="00E167C2">
        <w:rPr>
          <w:rFonts w:ascii="Trebuchet MS" w:hAnsi="Trebuchet MS"/>
          <w:b/>
          <w:color w:val="548DD4"/>
          <w:sz w:val="24"/>
          <w:szCs w:val="24"/>
        </w:rPr>
        <w:t>Litiny s kuličkovým grafitem – tvárné litiny 42 23XX-</w:t>
      </w:r>
      <w:r w:rsidRPr="00E167C2">
        <w:rPr>
          <w:rFonts w:ascii="Trebuchet MS" w:hAnsi="Trebuchet MS"/>
          <w:sz w:val="24"/>
          <w:szCs w:val="24"/>
        </w:rPr>
        <w:t xml:space="preserve"> struktura tvárných litin obsahuje přibližně 3,2 až 4,2 % uhlíku, 1,5 až 4 % křemíku, 0,4 až 0,8 % manganu, pod 0</w:t>
      </w:r>
      <w:r>
        <w:rPr>
          <w:rFonts w:ascii="Trebuchet MS" w:hAnsi="Trebuchet MS"/>
          <w:sz w:val="24"/>
          <w:szCs w:val="24"/>
        </w:rPr>
        <w:t xml:space="preserve">,1 % fosforu, pod 0,02 % síry. </w:t>
      </w:r>
      <w:r w:rsidRPr="00E167C2">
        <w:rPr>
          <w:rFonts w:ascii="Trebuchet MS" w:hAnsi="Trebuchet MS"/>
          <w:sz w:val="24"/>
          <w:szCs w:val="24"/>
        </w:rPr>
        <w:t>Grafit je ve struktuře vyloučen j</w:t>
      </w:r>
      <w:r>
        <w:rPr>
          <w:rFonts w:ascii="Trebuchet MS" w:hAnsi="Trebuchet MS"/>
          <w:sz w:val="24"/>
          <w:szCs w:val="24"/>
        </w:rPr>
        <w:t xml:space="preserve">ako kuličkový (zrnitý) grafit. </w:t>
      </w:r>
      <w:r w:rsidRPr="00E167C2">
        <w:rPr>
          <w:rFonts w:ascii="Trebuchet MS" w:hAnsi="Trebuchet MS"/>
          <w:sz w:val="24"/>
          <w:szCs w:val="24"/>
        </w:rPr>
        <w:t>Tvárná litina se vyrábí očkováním šedé litiny před odlitím hořčíkem. Po odlití vzniká místo lupínkového grafitu grafit kuličkový (zrnitý). Neboť kuličky nezpůsobují vznik napjatostní koncentrace</w:t>
      </w:r>
      <w:r>
        <w:rPr>
          <w:rFonts w:ascii="Trebuchet MS" w:hAnsi="Trebuchet MS"/>
          <w:sz w:val="24"/>
          <w:szCs w:val="24"/>
        </w:rPr>
        <w:t>,</w:t>
      </w:r>
      <w:r w:rsidRPr="00E167C2">
        <w:rPr>
          <w:rFonts w:ascii="Trebuchet MS" w:hAnsi="Trebuchet MS"/>
          <w:sz w:val="24"/>
          <w:szCs w:val="24"/>
        </w:rPr>
        <w:t xml:space="preserve"> může mít struktura obsahující kuličkový grafit pevnost v tahu až 900 MPa. </w:t>
      </w:r>
    </w:p>
    <w:p w:rsidR="00467039" w:rsidRPr="00E167C2" w:rsidRDefault="00467039" w:rsidP="00933C76">
      <w:pPr>
        <w:pStyle w:val="Nadpis5"/>
        <w:jc w:val="both"/>
        <w:rPr>
          <w:rFonts w:ascii="Trebuchet MS" w:hAnsi="Trebuchet MS"/>
          <w:sz w:val="24"/>
          <w:szCs w:val="24"/>
        </w:rPr>
      </w:pPr>
      <w:r w:rsidRPr="00E167C2">
        <w:rPr>
          <w:rFonts w:ascii="Trebuchet MS" w:hAnsi="Trebuchet MS"/>
          <w:color w:val="auto"/>
          <w:sz w:val="24"/>
          <w:szCs w:val="24"/>
        </w:rPr>
        <w:lastRenderedPageBreak/>
        <w:t xml:space="preserve">Očkování je technologická operace, při které se do tekutého kovu vnáší malé množství vhodně zvolené substance (očkovadla), a tím se zvýší množství krystalizačních zárodků určité fáze. Grafitizační očkování litiny s lupínkovým grafitem umožňuje zvýšit počet krystalizačních zárodků grafitu. Litina s kuličkovým grafitem je v současnosti nejpoužívanější litinou a mnohdy nahrazuje oceli na odlitky.  Nahrazení ocelí na odlitky tvárnou litinou přináší úspory energie při tavení a úspory kovu. Tvárná litina má lepší slévárenské vlastnosti, lepší obrobitelnost, dobré kluzné vlastnosti a lépe tlumí chvění a vibrace nežli ocel na odlitky.  </w:t>
      </w:r>
    </w:p>
    <w:p w:rsidR="00467039" w:rsidRPr="00E167C2" w:rsidRDefault="00467039" w:rsidP="00933C76">
      <w:pPr>
        <w:pStyle w:val="Normlnweb"/>
        <w:spacing w:line="276" w:lineRule="auto"/>
        <w:jc w:val="both"/>
        <w:rPr>
          <w:rFonts w:ascii="Trebuchet MS" w:hAnsi="Trebuchet MS"/>
        </w:rPr>
      </w:pPr>
      <w:r w:rsidRPr="00E167C2">
        <w:rPr>
          <w:rFonts w:ascii="Trebuchet MS" w:hAnsi="Trebuchet MS"/>
        </w:rPr>
        <w:t>Tvárné litiny</w:t>
      </w:r>
      <w:r w:rsidRPr="00E167C2">
        <w:t xml:space="preserve"> </w:t>
      </w:r>
      <w:r w:rsidRPr="00E167C2">
        <w:rPr>
          <w:rFonts w:ascii="Trebuchet MS" w:hAnsi="Trebuchet MS"/>
        </w:rPr>
        <w:t xml:space="preserve">jsou vhodné </w:t>
      </w:r>
      <w:r>
        <w:rPr>
          <w:rFonts w:ascii="Trebuchet MS" w:hAnsi="Trebuchet MS"/>
        </w:rPr>
        <w:t>pro dynamicky namáhané odlitky (</w:t>
      </w:r>
      <w:r w:rsidRPr="00E167C2">
        <w:rPr>
          <w:rFonts w:ascii="Trebuchet MS" w:hAnsi="Trebuchet MS"/>
        </w:rPr>
        <w:t>v automob</w:t>
      </w:r>
      <w:r>
        <w:rPr>
          <w:rFonts w:ascii="Trebuchet MS" w:hAnsi="Trebuchet MS"/>
        </w:rPr>
        <w:t xml:space="preserve">ilovém </w:t>
      </w:r>
      <w:r>
        <w:rPr>
          <w:rFonts w:ascii="Trebuchet MS" w:hAnsi="Trebuchet MS"/>
        </w:rPr>
        <w:br/>
        <w:t>a strojírenském průmyslu),</w:t>
      </w:r>
      <w:r w:rsidRPr="00E167C2">
        <w:rPr>
          <w:rFonts w:ascii="Trebuchet MS" w:hAnsi="Trebuchet MS"/>
        </w:rPr>
        <w:t xml:space="preserve"> jako jsou vačkové a klikové hřídele, dále na převodové skříně, motorové vložky, ozubená kola</w:t>
      </w:r>
      <w:r>
        <w:rPr>
          <w:rFonts w:ascii="Trebuchet MS" w:hAnsi="Trebuchet MS"/>
        </w:rPr>
        <w:t xml:space="preserve"> a </w:t>
      </w:r>
      <w:r w:rsidRPr="00E167C2">
        <w:rPr>
          <w:rFonts w:ascii="Trebuchet MS" w:hAnsi="Trebuchet MS"/>
        </w:rPr>
        <w:t>brzdové bubny. Tvárné litiny mohou pracovat i při nízkých teplotách. Temperované litiny se uplatňují při výrobě částí automobilů, lokomotiv, vagónů.</w:t>
      </w:r>
    </w:p>
    <w:p w:rsidR="00467039" w:rsidRPr="00E167C2" w:rsidRDefault="00467039" w:rsidP="00933C76">
      <w:pPr>
        <w:jc w:val="both"/>
        <w:rPr>
          <w:rFonts w:ascii="Trebuchet MS" w:hAnsi="Trebuchet MS"/>
          <w:sz w:val="24"/>
          <w:szCs w:val="24"/>
        </w:rPr>
      </w:pPr>
      <w:r w:rsidRPr="00E167C2">
        <w:rPr>
          <w:rFonts w:ascii="Trebuchet MS" w:hAnsi="Trebuchet MS"/>
          <w:b/>
          <w:color w:val="548DD4"/>
          <w:sz w:val="24"/>
          <w:szCs w:val="24"/>
        </w:rPr>
        <w:t>Temperované litiny 42 25XX-</w:t>
      </w:r>
      <w:r w:rsidRPr="00E167C2">
        <w:rPr>
          <w:rFonts w:ascii="Trebuchet MS" w:hAnsi="Trebuchet MS"/>
          <w:sz w:val="24"/>
          <w:szCs w:val="24"/>
        </w:rPr>
        <w:t xml:space="preserve"> Temperované litiny jsou svým chemickým složením bílé litiny, které jsou tepelně zpracovány tzv. temperováním. Temperování je vlastně dlouhotrvající žíhání odlitků z bílé litiny, kdy se začíná rozpadat cementit. Tímto procesem vzniká vločkový grafit, který je typický pro tuto litinu. Temperované litiny jsou houževnaté a snadno obrobitelné materiály, mají menší pevnost ve srovnání s ocelemi na odlitky, ale vyšší pevnost ve srovnání se šedými litinami. Nevýhodou všech temperovaných litin je jejich špatná zabíhavost a velká smrštivost, proto se nedají použít na velké odlitky.</w:t>
      </w:r>
    </w:p>
    <w:p w:rsidR="00467039" w:rsidRPr="00E167C2" w:rsidRDefault="00467039" w:rsidP="00933C76">
      <w:pPr>
        <w:pStyle w:val="Normlnweb"/>
        <w:jc w:val="both"/>
        <w:rPr>
          <w:rFonts w:ascii="Trebuchet MS" w:hAnsi="Trebuchet MS"/>
        </w:rPr>
      </w:pPr>
      <w:r w:rsidRPr="00E167C2">
        <w:rPr>
          <w:rFonts w:ascii="Trebuchet MS" w:hAnsi="Trebuchet MS"/>
        </w:rPr>
        <w:t>Temperované litiny jsou vhodné k výrobě středně mechanicky namáhaných součás</w:t>
      </w:r>
      <w:r>
        <w:rPr>
          <w:rFonts w:ascii="Trebuchet MS" w:hAnsi="Trebuchet MS"/>
        </w:rPr>
        <w:t xml:space="preserve">tek, hlavně pro výrobu součástek </w:t>
      </w:r>
      <w:r w:rsidRPr="00E167C2">
        <w:rPr>
          <w:rFonts w:ascii="Trebuchet MS" w:hAnsi="Trebuchet MS"/>
        </w:rPr>
        <w:t xml:space="preserve">automobilů, zemědělských strojů, vagónů, lokomotiv. </w:t>
      </w:r>
    </w:p>
    <w:p w:rsidR="00467039" w:rsidRPr="00E167C2" w:rsidRDefault="00467039">
      <w:pPr>
        <w:rPr>
          <w:rFonts w:ascii="Trebuchet MS" w:hAnsi="Trebuchet MS"/>
          <w:sz w:val="24"/>
          <w:szCs w:val="24"/>
          <w:lang w:eastAsia="cs-CZ"/>
        </w:rPr>
      </w:pPr>
    </w:p>
    <w:p w:rsidR="00467039" w:rsidRPr="00E167C2" w:rsidRDefault="00467039">
      <w:pPr>
        <w:rPr>
          <w:rFonts w:ascii="Trebuchet MS" w:hAnsi="Trebuchet MS"/>
          <w:sz w:val="24"/>
          <w:szCs w:val="24"/>
          <w:lang w:eastAsia="cs-CZ"/>
        </w:rPr>
      </w:pPr>
      <w:r w:rsidRPr="00E167C2">
        <w:rPr>
          <w:rFonts w:ascii="Trebuchet MS" w:hAnsi="Trebuchet MS"/>
          <w:sz w:val="24"/>
          <w:szCs w:val="24"/>
        </w:rPr>
        <w:br w:type="page"/>
      </w:r>
    </w:p>
    <w:p w:rsidR="00467039" w:rsidRDefault="00467039" w:rsidP="008C5F01">
      <w:pPr>
        <w:ind w:left="648" w:firstLine="289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Pracovní list</w:t>
      </w:r>
    </w:p>
    <w:p w:rsidR="00467039" w:rsidRDefault="00467039" w:rsidP="008C5F01">
      <w:pPr>
        <w:ind w:left="648" w:firstLine="2892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 Druhy litin</w:t>
      </w:r>
    </w:p>
    <w:p w:rsidR="00467039" w:rsidRDefault="00467039" w:rsidP="00282D0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467039" w:rsidRDefault="00467039" w:rsidP="00282D09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Najděte tři nesprávné výroky: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Výroba tvárné litiny je levnější nežli výroba ocelí na odlitky.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Temperovaná litina má uhlík vyloučený ve formě vločkového grafitu.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Temperovaná litina se vyrábí očkováním šedé litiny.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Šedá litina má 3x až 4x větší pevnost v tlaku nežli v tahu.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Oceli na odlitky lépe tlumí chvění nežli litiny.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Šedá litina má lepší tepelnou vodivost nežli ocel na odlitky.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Temperování je dlouhotrvající žíhání odlitků z bílé litiny.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42 2306 je označení tvárné litiny.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Litiny osahují více než 2,11 % C.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Očkováním se zvyšuje množství krystalizačních zárodků.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Stojany velkých obráběcích strojů se vyrábějí ze šedé litiny.</w:t>
      </w:r>
    </w:p>
    <w:p w:rsidR="00467039" w:rsidRDefault="00467039" w:rsidP="00282D09">
      <w:pPr>
        <w:pStyle w:val="Odstavecseseznamem"/>
        <w:numPr>
          <w:ilvl w:val="0"/>
          <w:numId w:val="24"/>
        </w:num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Temperované litiny mají výbornou zabíhavost.</w:t>
      </w:r>
    </w:p>
    <w:p w:rsidR="00467039" w:rsidRDefault="00467039" w:rsidP="000D280B">
      <w:pPr>
        <w:tabs>
          <w:tab w:val="left" w:pos="390"/>
          <w:tab w:val="center" w:pos="4536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ab/>
      </w:r>
    </w:p>
    <w:p w:rsidR="00467039" w:rsidRDefault="00467039">
      <w:pPr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br w:type="page"/>
      </w:r>
    </w:p>
    <w:p w:rsidR="00467039" w:rsidRDefault="00467039" w:rsidP="000D280B">
      <w:pPr>
        <w:tabs>
          <w:tab w:val="left" w:pos="390"/>
          <w:tab w:val="center" w:pos="4536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Test</w:t>
      </w:r>
    </w:p>
    <w:p w:rsidR="00467039" w:rsidRDefault="00467039" w:rsidP="000D280B">
      <w:pPr>
        <w:tabs>
          <w:tab w:val="left" w:pos="390"/>
          <w:tab w:val="center" w:pos="4536"/>
        </w:tabs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Druhy litin</w:t>
      </w:r>
    </w:p>
    <w:p w:rsidR="00467039" w:rsidRDefault="00467039" w:rsidP="009C2002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Řešte s pomocí strojnických tabulek:</w:t>
      </w:r>
    </w:p>
    <w:p w:rsidR="00467039" w:rsidRDefault="00467039" w:rsidP="00282D0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Nejmenší pevnost v tahu R</w:t>
      </w:r>
      <w:r>
        <w:rPr>
          <w:rFonts w:ascii="Trebuchet MS" w:hAnsi="Trebuchet MS"/>
          <w:sz w:val="24"/>
          <w:szCs w:val="24"/>
          <w:vertAlign w:val="subscript"/>
          <w:lang w:eastAsia="cs-CZ"/>
        </w:rPr>
        <w:t xml:space="preserve">mt </w:t>
      </w:r>
      <w:r>
        <w:rPr>
          <w:rFonts w:ascii="Trebuchet MS" w:hAnsi="Trebuchet MS"/>
          <w:sz w:val="24"/>
          <w:szCs w:val="24"/>
          <w:lang w:eastAsia="cs-CZ"/>
        </w:rPr>
        <w:t>[MPa] má materiál označený:</w:t>
      </w:r>
    </w:p>
    <w:p w:rsidR="00467039" w:rsidRDefault="00467039" w:rsidP="00282D09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42 2306</w:t>
      </w:r>
    </w:p>
    <w:p w:rsidR="00467039" w:rsidRDefault="00467039" w:rsidP="00282D09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42 2410</w:t>
      </w:r>
    </w:p>
    <w:p w:rsidR="00467039" w:rsidRDefault="00467039" w:rsidP="00282D09">
      <w:pPr>
        <w:pStyle w:val="Odstavecseseznamem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42 2555</w:t>
      </w:r>
    </w:p>
    <w:p w:rsidR="00467039" w:rsidRDefault="00467039" w:rsidP="00282D0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67039" w:rsidRDefault="00467039" w:rsidP="00282D0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Pro výrobu strojních součástí, pracujících při velmi nízkých teplotách, je vhodná:</w:t>
      </w:r>
    </w:p>
    <w:p w:rsidR="00467039" w:rsidRDefault="00467039" w:rsidP="00282D0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42 2306</w:t>
      </w:r>
    </w:p>
    <w:p w:rsidR="00467039" w:rsidRDefault="00467039" w:rsidP="00282D0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42 2410</w:t>
      </w:r>
    </w:p>
    <w:p w:rsidR="00467039" w:rsidRDefault="00467039" w:rsidP="00282D09">
      <w:pPr>
        <w:pStyle w:val="Odstavecseseznamem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42 2555</w:t>
      </w:r>
    </w:p>
    <w:p w:rsidR="00467039" w:rsidRDefault="00467039" w:rsidP="00282D0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67039" w:rsidRDefault="00467039" w:rsidP="00282D0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Nejhorší pevnost v tahu mají litiny s grafitem:</w:t>
      </w:r>
    </w:p>
    <w:p w:rsidR="00467039" w:rsidRDefault="00467039" w:rsidP="00282D09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vločkovitým</w:t>
      </w:r>
    </w:p>
    <w:p w:rsidR="00467039" w:rsidRDefault="00467039" w:rsidP="00282D09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kuličkovitým</w:t>
      </w:r>
    </w:p>
    <w:p w:rsidR="00467039" w:rsidRDefault="00467039" w:rsidP="00282D09">
      <w:pPr>
        <w:pStyle w:val="Odstavecseseznamem"/>
        <w:numPr>
          <w:ilvl w:val="0"/>
          <w:numId w:val="29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lupínkovitým</w:t>
      </w:r>
    </w:p>
    <w:p w:rsidR="00467039" w:rsidRDefault="00467039" w:rsidP="00282D09">
      <w:p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67039" w:rsidRDefault="00467039" w:rsidP="00282D0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Tvárná litina se vyrábí očkováním šedé litiny:</w:t>
      </w:r>
    </w:p>
    <w:p w:rsidR="00467039" w:rsidRDefault="00467039" w:rsidP="00282D09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 xml:space="preserve">uhlíkem </w:t>
      </w:r>
    </w:p>
    <w:p w:rsidR="00467039" w:rsidRDefault="00467039" w:rsidP="00282D09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hořčíkem</w:t>
      </w:r>
    </w:p>
    <w:p w:rsidR="00467039" w:rsidRDefault="00467039" w:rsidP="00282D09">
      <w:pPr>
        <w:pStyle w:val="Odstavecseseznamem"/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manganem</w:t>
      </w:r>
    </w:p>
    <w:p w:rsidR="00467039" w:rsidRDefault="00467039" w:rsidP="00282D09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p w:rsidR="00467039" w:rsidRDefault="00467039" w:rsidP="00282D09">
      <w:pPr>
        <w:pStyle w:val="Odstavecseseznamem"/>
        <w:numPr>
          <w:ilvl w:val="0"/>
          <w:numId w:val="26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Cementity obsahují:</w:t>
      </w:r>
    </w:p>
    <w:p w:rsidR="00467039" w:rsidRDefault="00467039" w:rsidP="00282D09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bílé litiny</w:t>
      </w:r>
    </w:p>
    <w:p w:rsidR="00467039" w:rsidRDefault="00467039" w:rsidP="00282D09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šedé litiny</w:t>
      </w:r>
    </w:p>
    <w:p w:rsidR="00467039" w:rsidRDefault="00467039" w:rsidP="00282D09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  <w:lang w:eastAsia="cs-CZ"/>
        </w:rPr>
        <w:t>tvárné litiny</w:t>
      </w:r>
    </w:p>
    <w:p w:rsidR="00467039" w:rsidRDefault="00467039" w:rsidP="00BA38DC">
      <w:pPr>
        <w:spacing w:before="100" w:beforeAutospacing="1" w:after="100" w:afterAutospacing="1" w:line="240" w:lineRule="auto"/>
        <w:ind w:left="360"/>
        <w:jc w:val="both"/>
        <w:rPr>
          <w:rFonts w:ascii="Trebuchet MS" w:hAnsi="Trebuchet MS"/>
          <w:sz w:val="24"/>
          <w:szCs w:val="24"/>
          <w:lang w:eastAsia="cs-CZ"/>
        </w:rPr>
      </w:pPr>
    </w:p>
    <w:sectPr w:rsidR="00467039" w:rsidSect="009358D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39" w:rsidRDefault="00467039" w:rsidP="00141D13">
      <w:pPr>
        <w:spacing w:after="0" w:line="240" w:lineRule="auto"/>
      </w:pPr>
      <w:r>
        <w:separator/>
      </w:r>
    </w:p>
  </w:endnote>
  <w:endnote w:type="continuationSeparator" w:id="0">
    <w:p w:rsidR="00467039" w:rsidRDefault="00467039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39" w:rsidRPr="00966D23" w:rsidRDefault="00467039" w:rsidP="008C5F01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</w:t>
    </w:r>
    <w:r>
      <w:rPr>
        <w:rFonts w:ascii="Trebuchet MS" w:hAnsi="Trebuchet MS"/>
      </w:rPr>
      <w:t>32_INOVACE_9</w:t>
    </w:r>
    <w:r w:rsidRPr="00966D23">
      <w:rPr>
        <w:rFonts w:ascii="Trebuchet MS" w:hAnsi="Trebuchet MS"/>
      </w:rPr>
      <w:t>_</w:t>
    </w:r>
    <w:r>
      <w:rPr>
        <w:rFonts w:ascii="Trebuchet MS" w:hAnsi="Trebuchet MS"/>
      </w:rPr>
      <w:t>1</w:t>
    </w:r>
    <w:r w:rsidRPr="00966D23">
      <w:rPr>
        <w:rFonts w:ascii="Trebuchet MS" w:hAnsi="Trebuchet MS"/>
      </w:rPr>
      <w:t>_0</w:t>
    </w:r>
    <w:r>
      <w:rPr>
        <w:rFonts w:ascii="Trebuchet MS" w:hAnsi="Trebuchet MS"/>
      </w:rPr>
      <w:t>9</w:t>
    </w:r>
    <w:r w:rsidRPr="00966D23">
      <w:rPr>
        <w:rFonts w:ascii="Trebuchet MS" w:hAnsi="Trebuchet MS"/>
      </w:rPr>
      <w:t xml:space="preserve">     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9060C6">
      <w:rPr>
        <w:rFonts w:ascii="Trebuchet MS" w:hAnsi="Trebuchet MS"/>
        <w:noProof/>
      </w:rPr>
      <w:t>2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</w:t>
    </w:r>
    <w:r>
      <w:rPr>
        <w:rFonts w:ascii="Trebuchet MS" w:hAnsi="Trebuchet MS"/>
      </w:rPr>
      <w:tab/>
    </w:r>
    <w:r w:rsidRPr="00966D23">
      <w:rPr>
        <w:rFonts w:ascii="Trebuchet MS" w:hAnsi="Trebuchet MS"/>
      </w:rPr>
      <w:t xml:space="preserve"> „EU Peníze školám“</w:t>
    </w:r>
  </w:p>
  <w:p w:rsidR="00467039" w:rsidRDefault="00467039" w:rsidP="008C5F01">
    <w:pPr>
      <w:pStyle w:val="Zpat"/>
    </w:pPr>
  </w:p>
  <w:p w:rsidR="00467039" w:rsidRDefault="004670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39" w:rsidRDefault="00467039" w:rsidP="00141D13">
      <w:pPr>
        <w:spacing w:after="0" w:line="240" w:lineRule="auto"/>
      </w:pPr>
      <w:r>
        <w:separator/>
      </w:r>
    </w:p>
  </w:footnote>
  <w:footnote w:type="continuationSeparator" w:id="0">
    <w:p w:rsidR="00467039" w:rsidRDefault="00467039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039" w:rsidRDefault="009060C6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0" o:spid="_x0000_i1025" type="#_x0000_t75" alt="OPVK_hor_zakladni_logolink_CB_cz.jpg" style="width:453.75pt;height:98.25pt;visibility:visible">
          <v:imagedata r:id="rId1" o:title=""/>
        </v:shape>
      </w:pict>
    </w:r>
  </w:p>
  <w:p w:rsidR="00467039" w:rsidRDefault="0046703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CD2"/>
    <w:multiLevelType w:val="hybridMultilevel"/>
    <w:tmpl w:val="1870EA6E"/>
    <w:lvl w:ilvl="0" w:tplc="533C818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D13D3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12EF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5C3544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A95ED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29407B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9DF0899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C173AFC"/>
    <w:multiLevelType w:val="hybridMultilevel"/>
    <w:tmpl w:val="ED9ACA8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65A3D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324288"/>
    <w:multiLevelType w:val="hybridMultilevel"/>
    <w:tmpl w:val="FE7C6B1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6F7EE5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5176381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E3B14C0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3043AA0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DF769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481258"/>
    <w:multiLevelType w:val="hybridMultilevel"/>
    <w:tmpl w:val="CDF26A60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573F5B3C"/>
    <w:multiLevelType w:val="multilevel"/>
    <w:tmpl w:val="CA20CB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3C46B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506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2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281343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571328"/>
    <w:multiLevelType w:val="hybridMultilevel"/>
    <w:tmpl w:val="00F4D1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503DF2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8">
    <w:nsid w:val="713F552E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35A26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7C059A2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B610B0B"/>
    <w:multiLevelType w:val="multilevel"/>
    <w:tmpl w:val="C40456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985AB8"/>
    <w:multiLevelType w:val="hybridMultilevel"/>
    <w:tmpl w:val="42449D4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8D2"/>
    <w:rsid w:val="00001198"/>
    <w:rsid w:val="0000634D"/>
    <w:rsid w:val="00011022"/>
    <w:rsid w:val="00014EAB"/>
    <w:rsid w:val="00024005"/>
    <w:rsid w:val="00025F3A"/>
    <w:rsid w:val="00027CD5"/>
    <w:rsid w:val="00027FA5"/>
    <w:rsid w:val="00030D16"/>
    <w:rsid w:val="00033E62"/>
    <w:rsid w:val="00034463"/>
    <w:rsid w:val="00035794"/>
    <w:rsid w:val="000358AC"/>
    <w:rsid w:val="00035C95"/>
    <w:rsid w:val="000401E5"/>
    <w:rsid w:val="00045412"/>
    <w:rsid w:val="00053446"/>
    <w:rsid w:val="00055E8B"/>
    <w:rsid w:val="00057162"/>
    <w:rsid w:val="00057EC2"/>
    <w:rsid w:val="000653AE"/>
    <w:rsid w:val="0006776F"/>
    <w:rsid w:val="00072B2E"/>
    <w:rsid w:val="00076745"/>
    <w:rsid w:val="0008100E"/>
    <w:rsid w:val="00081D83"/>
    <w:rsid w:val="0008346A"/>
    <w:rsid w:val="00084546"/>
    <w:rsid w:val="000856C2"/>
    <w:rsid w:val="000945E0"/>
    <w:rsid w:val="000960D6"/>
    <w:rsid w:val="000A250A"/>
    <w:rsid w:val="000A42C1"/>
    <w:rsid w:val="000A66A4"/>
    <w:rsid w:val="000A6DF4"/>
    <w:rsid w:val="000B0371"/>
    <w:rsid w:val="000B360A"/>
    <w:rsid w:val="000B53A4"/>
    <w:rsid w:val="000C0902"/>
    <w:rsid w:val="000C4BB5"/>
    <w:rsid w:val="000C5C20"/>
    <w:rsid w:val="000D0146"/>
    <w:rsid w:val="000D280B"/>
    <w:rsid w:val="000D29B2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16431"/>
    <w:rsid w:val="00120ACE"/>
    <w:rsid w:val="00121C20"/>
    <w:rsid w:val="00122C94"/>
    <w:rsid w:val="0012655A"/>
    <w:rsid w:val="00126DE1"/>
    <w:rsid w:val="00132415"/>
    <w:rsid w:val="00140E91"/>
    <w:rsid w:val="00141D13"/>
    <w:rsid w:val="00141D95"/>
    <w:rsid w:val="00143DA7"/>
    <w:rsid w:val="001444A7"/>
    <w:rsid w:val="00144FB3"/>
    <w:rsid w:val="00145ED1"/>
    <w:rsid w:val="0015084A"/>
    <w:rsid w:val="00153087"/>
    <w:rsid w:val="00154AC3"/>
    <w:rsid w:val="00162CD5"/>
    <w:rsid w:val="0016386E"/>
    <w:rsid w:val="00170E0D"/>
    <w:rsid w:val="00175870"/>
    <w:rsid w:val="00175C0C"/>
    <w:rsid w:val="001912DB"/>
    <w:rsid w:val="001925BB"/>
    <w:rsid w:val="001A1F91"/>
    <w:rsid w:val="001A254E"/>
    <w:rsid w:val="001A25F4"/>
    <w:rsid w:val="001A3CC2"/>
    <w:rsid w:val="001A3CE3"/>
    <w:rsid w:val="001A4BDF"/>
    <w:rsid w:val="001A76EF"/>
    <w:rsid w:val="001B372E"/>
    <w:rsid w:val="001B59CC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5E16"/>
    <w:rsid w:val="001D7382"/>
    <w:rsid w:val="001E312A"/>
    <w:rsid w:val="001E35A6"/>
    <w:rsid w:val="001F118B"/>
    <w:rsid w:val="001F3FD6"/>
    <w:rsid w:val="001F40A1"/>
    <w:rsid w:val="00202454"/>
    <w:rsid w:val="00205991"/>
    <w:rsid w:val="00212D86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72292"/>
    <w:rsid w:val="002814B6"/>
    <w:rsid w:val="00282BA8"/>
    <w:rsid w:val="00282D09"/>
    <w:rsid w:val="00284793"/>
    <w:rsid w:val="00284F54"/>
    <w:rsid w:val="00293F6A"/>
    <w:rsid w:val="00294E08"/>
    <w:rsid w:val="0029645F"/>
    <w:rsid w:val="002A2F82"/>
    <w:rsid w:val="002A323C"/>
    <w:rsid w:val="002A5385"/>
    <w:rsid w:val="002B0C2D"/>
    <w:rsid w:val="002B102C"/>
    <w:rsid w:val="002B18DB"/>
    <w:rsid w:val="002B40DF"/>
    <w:rsid w:val="002C3F68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5B12"/>
    <w:rsid w:val="00317988"/>
    <w:rsid w:val="00322B89"/>
    <w:rsid w:val="00322E8F"/>
    <w:rsid w:val="00324186"/>
    <w:rsid w:val="003315BB"/>
    <w:rsid w:val="003320D7"/>
    <w:rsid w:val="00333BA5"/>
    <w:rsid w:val="00352F9F"/>
    <w:rsid w:val="00355AF7"/>
    <w:rsid w:val="00360B31"/>
    <w:rsid w:val="0036222E"/>
    <w:rsid w:val="00363CAC"/>
    <w:rsid w:val="0037038D"/>
    <w:rsid w:val="00374226"/>
    <w:rsid w:val="00375A8B"/>
    <w:rsid w:val="00375FF2"/>
    <w:rsid w:val="003762B2"/>
    <w:rsid w:val="00377844"/>
    <w:rsid w:val="003839BB"/>
    <w:rsid w:val="00391397"/>
    <w:rsid w:val="003947E1"/>
    <w:rsid w:val="003948CB"/>
    <w:rsid w:val="00394911"/>
    <w:rsid w:val="003A4B6C"/>
    <w:rsid w:val="003B2550"/>
    <w:rsid w:val="003C2766"/>
    <w:rsid w:val="003C3AC8"/>
    <w:rsid w:val="003C46B8"/>
    <w:rsid w:val="003D1F0D"/>
    <w:rsid w:val="003D2986"/>
    <w:rsid w:val="003D5227"/>
    <w:rsid w:val="003D71A1"/>
    <w:rsid w:val="003D71D6"/>
    <w:rsid w:val="003E2D17"/>
    <w:rsid w:val="003E6A0B"/>
    <w:rsid w:val="003F2B77"/>
    <w:rsid w:val="003F612D"/>
    <w:rsid w:val="004125B7"/>
    <w:rsid w:val="00412941"/>
    <w:rsid w:val="0042222E"/>
    <w:rsid w:val="00426117"/>
    <w:rsid w:val="00427062"/>
    <w:rsid w:val="00427BBD"/>
    <w:rsid w:val="00430478"/>
    <w:rsid w:val="00431FBF"/>
    <w:rsid w:val="0043322A"/>
    <w:rsid w:val="004341CC"/>
    <w:rsid w:val="004349AF"/>
    <w:rsid w:val="004430E1"/>
    <w:rsid w:val="00445AA9"/>
    <w:rsid w:val="00447B3C"/>
    <w:rsid w:val="0045379E"/>
    <w:rsid w:val="00461322"/>
    <w:rsid w:val="004616DB"/>
    <w:rsid w:val="0046689A"/>
    <w:rsid w:val="00467039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B0C2D"/>
    <w:rsid w:val="004C164D"/>
    <w:rsid w:val="004C6008"/>
    <w:rsid w:val="004D1FB9"/>
    <w:rsid w:val="004D50A9"/>
    <w:rsid w:val="004D7762"/>
    <w:rsid w:val="004E2645"/>
    <w:rsid w:val="004E28ED"/>
    <w:rsid w:val="004E32E0"/>
    <w:rsid w:val="004E6947"/>
    <w:rsid w:val="004E694F"/>
    <w:rsid w:val="004F0159"/>
    <w:rsid w:val="004F5083"/>
    <w:rsid w:val="004F5A31"/>
    <w:rsid w:val="004F6620"/>
    <w:rsid w:val="004F6B76"/>
    <w:rsid w:val="005000D2"/>
    <w:rsid w:val="00503A7D"/>
    <w:rsid w:val="00507FBD"/>
    <w:rsid w:val="0051335D"/>
    <w:rsid w:val="00516351"/>
    <w:rsid w:val="00520323"/>
    <w:rsid w:val="00533B95"/>
    <w:rsid w:val="00540862"/>
    <w:rsid w:val="00544262"/>
    <w:rsid w:val="00550911"/>
    <w:rsid w:val="00551F39"/>
    <w:rsid w:val="005636E8"/>
    <w:rsid w:val="00565D2E"/>
    <w:rsid w:val="005732ED"/>
    <w:rsid w:val="0057412B"/>
    <w:rsid w:val="0057422B"/>
    <w:rsid w:val="0058066B"/>
    <w:rsid w:val="005832DF"/>
    <w:rsid w:val="00584467"/>
    <w:rsid w:val="00587F89"/>
    <w:rsid w:val="005921D6"/>
    <w:rsid w:val="00592EB3"/>
    <w:rsid w:val="0059688A"/>
    <w:rsid w:val="005A2E60"/>
    <w:rsid w:val="005A591B"/>
    <w:rsid w:val="005A6275"/>
    <w:rsid w:val="005A6B00"/>
    <w:rsid w:val="005B265D"/>
    <w:rsid w:val="005B3291"/>
    <w:rsid w:val="005B4564"/>
    <w:rsid w:val="005C28D8"/>
    <w:rsid w:val="005C4180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7AF5"/>
    <w:rsid w:val="006101DD"/>
    <w:rsid w:val="00611BDE"/>
    <w:rsid w:val="00611D1A"/>
    <w:rsid w:val="00616AE7"/>
    <w:rsid w:val="00620165"/>
    <w:rsid w:val="006208C2"/>
    <w:rsid w:val="00621FB7"/>
    <w:rsid w:val="00624209"/>
    <w:rsid w:val="00627369"/>
    <w:rsid w:val="00635174"/>
    <w:rsid w:val="00636EAA"/>
    <w:rsid w:val="00636FB3"/>
    <w:rsid w:val="0064119D"/>
    <w:rsid w:val="00642FCC"/>
    <w:rsid w:val="0064396E"/>
    <w:rsid w:val="006448FB"/>
    <w:rsid w:val="00646BD9"/>
    <w:rsid w:val="0065059F"/>
    <w:rsid w:val="00651DDB"/>
    <w:rsid w:val="00656BFA"/>
    <w:rsid w:val="006713C1"/>
    <w:rsid w:val="006717D5"/>
    <w:rsid w:val="00672548"/>
    <w:rsid w:val="00672739"/>
    <w:rsid w:val="00674C51"/>
    <w:rsid w:val="0068058B"/>
    <w:rsid w:val="006822DC"/>
    <w:rsid w:val="00682FEC"/>
    <w:rsid w:val="00683461"/>
    <w:rsid w:val="00687770"/>
    <w:rsid w:val="00690569"/>
    <w:rsid w:val="006A1A16"/>
    <w:rsid w:val="006A1D2C"/>
    <w:rsid w:val="006A4871"/>
    <w:rsid w:val="006B45BB"/>
    <w:rsid w:val="006B4BE3"/>
    <w:rsid w:val="006B4ED0"/>
    <w:rsid w:val="006C3ABB"/>
    <w:rsid w:val="006C3D82"/>
    <w:rsid w:val="006C6184"/>
    <w:rsid w:val="006C70B0"/>
    <w:rsid w:val="006C7E19"/>
    <w:rsid w:val="006D044C"/>
    <w:rsid w:val="006D098C"/>
    <w:rsid w:val="006D7511"/>
    <w:rsid w:val="006E1346"/>
    <w:rsid w:val="006F7FC5"/>
    <w:rsid w:val="007016BA"/>
    <w:rsid w:val="00701E8E"/>
    <w:rsid w:val="007044DD"/>
    <w:rsid w:val="00710DE1"/>
    <w:rsid w:val="00710EA5"/>
    <w:rsid w:val="007174E1"/>
    <w:rsid w:val="00720DD6"/>
    <w:rsid w:val="00724271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3BCE"/>
    <w:rsid w:val="00757561"/>
    <w:rsid w:val="00762175"/>
    <w:rsid w:val="00770920"/>
    <w:rsid w:val="0077169C"/>
    <w:rsid w:val="00772E8C"/>
    <w:rsid w:val="007749ED"/>
    <w:rsid w:val="00777A70"/>
    <w:rsid w:val="0078187E"/>
    <w:rsid w:val="00783E5F"/>
    <w:rsid w:val="007859B1"/>
    <w:rsid w:val="00786D3E"/>
    <w:rsid w:val="007878CA"/>
    <w:rsid w:val="00792F8B"/>
    <w:rsid w:val="007A30D6"/>
    <w:rsid w:val="007A3AA6"/>
    <w:rsid w:val="007B0AAA"/>
    <w:rsid w:val="007C3D79"/>
    <w:rsid w:val="007C56DA"/>
    <w:rsid w:val="007D2986"/>
    <w:rsid w:val="007F27C4"/>
    <w:rsid w:val="007F2A56"/>
    <w:rsid w:val="007F45B3"/>
    <w:rsid w:val="007F460B"/>
    <w:rsid w:val="007F5410"/>
    <w:rsid w:val="007F6A82"/>
    <w:rsid w:val="0080178A"/>
    <w:rsid w:val="00803E47"/>
    <w:rsid w:val="008042A0"/>
    <w:rsid w:val="00810382"/>
    <w:rsid w:val="0082394C"/>
    <w:rsid w:val="0083153B"/>
    <w:rsid w:val="00832202"/>
    <w:rsid w:val="008327B9"/>
    <w:rsid w:val="0083401B"/>
    <w:rsid w:val="0083637B"/>
    <w:rsid w:val="008407DE"/>
    <w:rsid w:val="00841878"/>
    <w:rsid w:val="00841E79"/>
    <w:rsid w:val="0084569D"/>
    <w:rsid w:val="00850D7F"/>
    <w:rsid w:val="00860811"/>
    <w:rsid w:val="008668F0"/>
    <w:rsid w:val="00882A6E"/>
    <w:rsid w:val="00886003"/>
    <w:rsid w:val="00887004"/>
    <w:rsid w:val="0088772E"/>
    <w:rsid w:val="008879FF"/>
    <w:rsid w:val="00892F04"/>
    <w:rsid w:val="0089336F"/>
    <w:rsid w:val="008A26B8"/>
    <w:rsid w:val="008A2D6A"/>
    <w:rsid w:val="008A39A2"/>
    <w:rsid w:val="008A456E"/>
    <w:rsid w:val="008A472B"/>
    <w:rsid w:val="008A5385"/>
    <w:rsid w:val="008B51C4"/>
    <w:rsid w:val="008B6005"/>
    <w:rsid w:val="008C0189"/>
    <w:rsid w:val="008C576F"/>
    <w:rsid w:val="008C5F01"/>
    <w:rsid w:val="008D7F4A"/>
    <w:rsid w:val="008E0544"/>
    <w:rsid w:val="008E1B63"/>
    <w:rsid w:val="008E3AC3"/>
    <w:rsid w:val="008E724E"/>
    <w:rsid w:val="008F1701"/>
    <w:rsid w:val="00901B2F"/>
    <w:rsid w:val="00904E25"/>
    <w:rsid w:val="009060C6"/>
    <w:rsid w:val="00907D10"/>
    <w:rsid w:val="00913461"/>
    <w:rsid w:val="009203F6"/>
    <w:rsid w:val="00922F68"/>
    <w:rsid w:val="00925D58"/>
    <w:rsid w:val="00933C76"/>
    <w:rsid w:val="009358D2"/>
    <w:rsid w:val="0093725E"/>
    <w:rsid w:val="00942225"/>
    <w:rsid w:val="00942812"/>
    <w:rsid w:val="00943441"/>
    <w:rsid w:val="00943BB4"/>
    <w:rsid w:val="00943CC7"/>
    <w:rsid w:val="00943F51"/>
    <w:rsid w:val="009531D0"/>
    <w:rsid w:val="0095380E"/>
    <w:rsid w:val="00953DEA"/>
    <w:rsid w:val="0095411D"/>
    <w:rsid w:val="00957B0F"/>
    <w:rsid w:val="00960375"/>
    <w:rsid w:val="00962D15"/>
    <w:rsid w:val="009654FA"/>
    <w:rsid w:val="00966D23"/>
    <w:rsid w:val="00975BDD"/>
    <w:rsid w:val="00980DDD"/>
    <w:rsid w:val="00990E3C"/>
    <w:rsid w:val="00997554"/>
    <w:rsid w:val="00997B4B"/>
    <w:rsid w:val="009A43DD"/>
    <w:rsid w:val="009A5399"/>
    <w:rsid w:val="009A5AC0"/>
    <w:rsid w:val="009B2374"/>
    <w:rsid w:val="009B3241"/>
    <w:rsid w:val="009B3B50"/>
    <w:rsid w:val="009C0D2D"/>
    <w:rsid w:val="009C2002"/>
    <w:rsid w:val="009C7F66"/>
    <w:rsid w:val="009D2390"/>
    <w:rsid w:val="009E6E20"/>
    <w:rsid w:val="009F1310"/>
    <w:rsid w:val="009F30A9"/>
    <w:rsid w:val="009F6E91"/>
    <w:rsid w:val="00A01D6E"/>
    <w:rsid w:val="00A03830"/>
    <w:rsid w:val="00A05037"/>
    <w:rsid w:val="00A06886"/>
    <w:rsid w:val="00A130F1"/>
    <w:rsid w:val="00A17417"/>
    <w:rsid w:val="00A306E5"/>
    <w:rsid w:val="00A32A2E"/>
    <w:rsid w:val="00A34284"/>
    <w:rsid w:val="00A406C7"/>
    <w:rsid w:val="00A41830"/>
    <w:rsid w:val="00A430E7"/>
    <w:rsid w:val="00A45504"/>
    <w:rsid w:val="00A5701C"/>
    <w:rsid w:val="00A57175"/>
    <w:rsid w:val="00A6204E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CDE"/>
    <w:rsid w:val="00A93D01"/>
    <w:rsid w:val="00A94058"/>
    <w:rsid w:val="00AB3D3D"/>
    <w:rsid w:val="00AC279B"/>
    <w:rsid w:val="00AD69AF"/>
    <w:rsid w:val="00AF52ED"/>
    <w:rsid w:val="00AF5637"/>
    <w:rsid w:val="00B01EEC"/>
    <w:rsid w:val="00B05163"/>
    <w:rsid w:val="00B1339B"/>
    <w:rsid w:val="00B1469B"/>
    <w:rsid w:val="00B14920"/>
    <w:rsid w:val="00B204CF"/>
    <w:rsid w:val="00B24715"/>
    <w:rsid w:val="00B314CB"/>
    <w:rsid w:val="00B335A6"/>
    <w:rsid w:val="00B354DE"/>
    <w:rsid w:val="00B43353"/>
    <w:rsid w:val="00B4738C"/>
    <w:rsid w:val="00B51353"/>
    <w:rsid w:val="00B54B16"/>
    <w:rsid w:val="00B5575E"/>
    <w:rsid w:val="00B621E5"/>
    <w:rsid w:val="00B663A6"/>
    <w:rsid w:val="00B66E92"/>
    <w:rsid w:val="00B724CB"/>
    <w:rsid w:val="00B83907"/>
    <w:rsid w:val="00B941A5"/>
    <w:rsid w:val="00B961EA"/>
    <w:rsid w:val="00B967A7"/>
    <w:rsid w:val="00BA38DC"/>
    <w:rsid w:val="00BA3DD5"/>
    <w:rsid w:val="00BA7DC7"/>
    <w:rsid w:val="00BB65A8"/>
    <w:rsid w:val="00BC102F"/>
    <w:rsid w:val="00BC4F9C"/>
    <w:rsid w:val="00BD3162"/>
    <w:rsid w:val="00BD39E7"/>
    <w:rsid w:val="00BE2F2A"/>
    <w:rsid w:val="00BE3357"/>
    <w:rsid w:val="00BE6160"/>
    <w:rsid w:val="00BF2250"/>
    <w:rsid w:val="00BF3B9F"/>
    <w:rsid w:val="00C00CCD"/>
    <w:rsid w:val="00C03671"/>
    <w:rsid w:val="00C14EF6"/>
    <w:rsid w:val="00C3096A"/>
    <w:rsid w:val="00C30C2D"/>
    <w:rsid w:val="00C34C31"/>
    <w:rsid w:val="00C368BF"/>
    <w:rsid w:val="00C455C1"/>
    <w:rsid w:val="00C4707A"/>
    <w:rsid w:val="00C61F28"/>
    <w:rsid w:val="00C634BC"/>
    <w:rsid w:val="00C66570"/>
    <w:rsid w:val="00C70A06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B114B"/>
    <w:rsid w:val="00CB242D"/>
    <w:rsid w:val="00CB72D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2025B"/>
    <w:rsid w:val="00D2091B"/>
    <w:rsid w:val="00D25EC4"/>
    <w:rsid w:val="00D26B93"/>
    <w:rsid w:val="00D34326"/>
    <w:rsid w:val="00D34418"/>
    <w:rsid w:val="00D35F24"/>
    <w:rsid w:val="00D37EA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3A0D"/>
    <w:rsid w:val="00D80787"/>
    <w:rsid w:val="00D90437"/>
    <w:rsid w:val="00D916A1"/>
    <w:rsid w:val="00D93494"/>
    <w:rsid w:val="00D94F8A"/>
    <w:rsid w:val="00D9748E"/>
    <w:rsid w:val="00DA261A"/>
    <w:rsid w:val="00DA3082"/>
    <w:rsid w:val="00DC18C6"/>
    <w:rsid w:val="00DC5B36"/>
    <w:rsid w:val="00DC6FB5"/>
    <w:rsid w:val="00DD082E"/>
    <w:rsid w:val="00DD161A"/>
    <w:rsid w:val="00DD18A9"/>
    <w:rsid w:val="00DD2214"/>
    <w:rsid w:val="00DD384E"/>
    <w:rsid w:val="00DD4182"/>
    <w:rsid w:val="00DE0849"/>
    <w:rsid w:val="00DF092A"/>
    <w:rsid w:val="00E009B2"/>
    <w:rsid w:val="00E01DA4"/>
    <w:rsid w:val="00E04DED"/>
    <w:rsid w:val="00E167C2"/>
    <w:rsid w:val="00E2156C"/>
    <w:rsid w:val="00E33912"/>
    <w:rsid w:val="00E3403B"/>
    <w:rsid w:val="00E37C4E"/>
    <w:rsid w:val="00E40894"/>
    <w:rsid w:val="00E43218"/>
    <w:rsid w:val="00E61434"/>
    <w:rsid w:val="00E71FB0"/>
    <w:rsid w:val="00E764E8"/>
    <w:rsid w:val="00E81B26"/>
    <w:rsid w:val="00E86DF7"/>
    <w:rsid w:val="00E87DE4"/>
    <w:rsid w:val="00E907E4"/>
    <w:rsid w:val="00E919D2"/>
    <w:rsid w:val="00E96951"/>
    <w:rsid w:val="00EA04F2"/>
    <w:rsid w:val="00EA10EA"/>
    <w:rsid w:val="00EA7F9E"/>
    <w:rsid w:val="00EB16AD"/>
    <w:rsid w:val="00EB2B3C"/>
    <w:rsid w:val="00EB3281"/>
    <w:rsid w:val="00EB4148"/>
    <w:rsid w:val="00EC4757"/>
    <w:rsid w:val="00EC7FA1"/>
    <w:rsid w:val="00ED5205"/>
    <w:rsid w:val="00EE0048"/>
    <w:rsid w:val="00EE0F5E"/>
    <w:rsid w:val="00EE68F3"/>
    <w:rsid w:val="00EE7479"/>
    <w:rsid w:val="00EE77BB"/>
    <w:rsid w:val="00EF4625"/>
    <w:rsid w:val="00EF7893"/>
    <w:rsid w:val="00EF7EFB"/>
    <w:rsid w:val="00F00044"/>
    <w:rsid w:val="00F0354C"/>
    <w:rsid w:val="00F2274A"/>
    <w:rsid w:val="00F25F9D"/>
    <w:rsid w:val="00F27B9A"/>
    <w:rsid w:val="00F4429E"/>
    <w:rsid w:val="00F45BDB"/>
    <w:rsid w:val="00F55288"/>
    <w:rsid w:val="00F60DD1"/>
    <w:rsid w:val="00F634B2"/>
    <w:rsid w:val="00F635FF"/>
    <w:rsid w:val="00F67140"/>
    <w:rsid w:val="00F70470"/>
    <w:rsid w:val="00F71D62"/>
    <w:rsid w:val="00F76257"/>
    <w:rsid w:val="00F76BA1"/>
    <w:rsid w:val="00F77EFA"/>
    <w:rsid w:val="00F8014D"/>
    <w:rsid w:val="00F80363"/>
    <w:rsid w:val="00F80505"/>
    <w:rsid w:val="00F95EAC"/>
    <w:rsid w:val="00FA2E58"/>
    <w:rsid w:val="00FA50C6"/>
    <w:rsid w:val="00FA53E8"/>
    <w:rsid w:val="00FB2B01"/>
    <w:rsid w:val="00FB4D10"/>
    <w:rsid w:val="00FB4FBA"/>
    <w:rsid w:val="00FB5EE4"/>
    <w:rsid w:val="00FB6D93"/>
    <w:rsid w:val="00FC5655"/>
    <w:rsid w:val="00FD3CFB"/>
    <w:rsid w:val="00FF0E3F"/>
    <w:rsid w:val="00FF1249"/>
    <w:rsid w:val="00FF1B79"/>
    <w:rsid w:val="00FF265E"/>
    <w:rsid w:val="00FF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Georgia" w:hAnsi="Georg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360B31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"/>
    <w:link w:val="Nadpis2Char"/>
    <w:uiPriority w:val="9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EC7FA1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4F81BD"/>
    </w:rPr>
  </w:style>
  <w:style w:type="paragraph" w:styleId="Nadpis5">
    <w:name w:val="heading 5"/>
    <w:basedOn w:val="Normln"/>
    <w:next w:val="Normln"/>
    <w:link w:val="Nadpis5Char"/>
    <w:uiPriority w:val="99"/>
    <w:qFormat/>
    <w:rsid w:val="00126DE1"/>
    <w:pPr>
      <w:keepNext/>
      <w:keepLines/>
      <w:spacing w:before="200" w:after="0"/>
      <w:outlineLvl w:val="4"/>
    </w:pPr>
    <w:rPr>
      <w:rFonts w:eastAsia="Times New Roman"/>
      <w:color w:val="243F6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360B31"/>
    <w:rPr>
      <w:rFonts w:ascii="Georgia" w:hAnsi="Georg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FF265E"/>
    <w:rPr>
      <w:rFonts w:ascii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FF265E"/>
    <w:rPr>
      <w:rFonts w:ascii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C7FA1"/>
    <w:rPr>
      <w:rFonts w:ascii="Georgia" w:hAnsi="Georgia" w:cs="Times New Roman"/>
      <w:b/>
      <w:bCs/>
      <w:i/>
      <w:iCs/>
      <w:color w:val="4F81BD"/>
    </w:rPr>
  </w:style>
  <w:style w:type="character" w:customStyle="1" w:styleId="Nadpis5Char">
    <w:name w:val="Nadpis 5 Char"/>
    <w:basedOn w:val="Standardnpsmoodstavce"/>
    <w:link w:val="Nadpis5"/>
    <w:uiPriority w:val="99"/>
    <w:locked/>
    <w:rsid w:val="00126DE1"/>
    <w:rPr>
      <w:rFonts w:ascii="Georgia" w:hAnsi="Georgia" w:cs="Times New Roman"/>
      <w:color w:val="243F60"/>
    </w:rPr>
  </w:style>
  <w:style w:type="paragraph" w:styleId="Odstavecseseznamem">
    <w:name w:val="List Paragraph"/>
    <w:basedOn w:val="Normln"/>
    <w:uiPriority w:val="99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99"/>
    <w:qFormat/>
    <w:rsid w:val="00BD39E7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rsid w:val="00587F89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87F89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99"/>
    <w:qFormat/>
    <w:rsid w:val="00EC7FA1"/>
    <w:rPr>
      <w:rFonts w:cs="Times New Roman"/>
      <w:i/>
      <w:iCs/>
    </w:rPr>
  </w:style>
  <w:style w:type="character" w:customStyle="1" w:styleId="wpkeywordlink">
    <w:name w:val="wp_keywordlink"/>
    <w:basedOn w:val="Standardnpsmoodstavce"/>
    <w:uiPriority w:val="99"/>
    <w:rsid w:val="00126DE1"/>
    <w:rPr>
      <w:rFonts w:cs="Times New Roman"/>
    </w:rPr>
  </w:style>
  <w:style w:type="paragraph" w:styleId="Zhlav">
    <w:name w:val="header"/>
    <w:basedOn w:val="Normln"/>
    <w:link w:val="Zhlav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141D13"/>
    <w:rPr>
      <w:rFonts w:cs="Times New Roman"/>
    </w:rPr>
  </w:style>
  <w:style w:type="paragraph" w:styleId="Zpat">
    <w:name w:val="footer"/>
    <w:basedOn w:val="Normln"/>
    <w:link w:val="ZpatChar"/>
    <w:uiPriority w:val="99"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141D13"/>
    <w:rPr>
      <w:rFonts w:cs="Times New Roman"/>
    </w:rPr>
  </w:style>
  <w:style w:type="character" w:customStyle="1" w:styleId="vz">
    <w:name w:val="vz"/>
    <w:basedOn w:val="Standardnpsmoodstavce"/>
    <w:uiPriority w:val="99"/>
    <w:rsid w:val="00EB328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67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9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5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5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3675865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2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3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3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36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67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367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29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934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ISŠTE Sokolov, Jednoty 1620, 356 11  SOKOLOV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Štěpánka Makoňová</dc:creator>
  <cp:keywords/>
  <dc:description/>
  <cp:lastModifiedBy>Štěpánka Makoňová</cp:lastModifiedBy>
  <cp:revision>12</cp:revision>
  <cp:lastPrinted>2012-09-12T07:32:00Z</cp:lastPrinted>
  <dcterms:created xsi:type="dcterms:W3CDTF">2012-10-21T17:02:00Z</dcterms:created>
  <dcterms:modified xsi:type="dcterms:W3CDTF">2013-05-03T11:06:00Z</dcterms:modified>
</cp:coreProperties>
</file>